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C7A" w:rsidRDefault="00FD1954" w:rsidP="00FD1954">
      <w:pPr>
        <w:spacing w:after="0"/>
        <w:rPr>
          <w:b/>
          <w:sz w:val="32"/>
        </w:rPr>
      </w:pPr>
      <w:r w:rsidRPr="00C77B0E">
        <w:rPr>
          <w:b/>
          <w:noProof/>
          <w:color w:val="0070C0"/>
          <w:sz w:val="28"/>
        </w:rPr>
        <mc:AlternateContent>
          <mc:Choice Requires="wps">
            <w:drawing>
              <wp:anchor distT="45720" distB="45720" distL="114300" distR="114300" simplePos="0" relativeHeight="251666432" behindDoc="0" locked="0" layoutInCell="1" allowOverlap="1">
                <wp:simplePos x="0" y="0"/>
                <wp:positionH relativeFrom="margin">
                  <wp:posOffset>7308850</wp:posOffset>
                </wp:positionH>
                <wp:positionV relativeFrom="paragraph">
                  <wp:posOffset>6350</wp:posOffset>
                </wp:positionV>
                <wp:extent cx="1809750" cy="45339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4533900"/>
                        </a:xfrm>
                        <a:prstGeom prst="rect">
                          <a:avLst/>
                        </a:prstGeom>
                        <a:solidFill>
                          <a:srgbClr val="FFFFFF"/>
                        </a:solidFill>
                        <a:ln w="9525">
                          <a:solidFill>
                            <a:srgbClr val="000000"/>
                          </a:solidFill>
                          <a:miter lim="800000"/>
                          <a:headEnd/>
                          <a:tailEnd/>
                        </a:ln>
                      </wps:spPr>
                      <wps:txbx>
                        <w:txbxContent>
                          <w:p w:rsidR="008E32C6" w:rsidRPr="00C77B0E" w:rsidRDefault="00724903" w:rsidP="00FD1954">
                            <w:pPr>
                              <w:spacing w:after="0"/>
                              <w:jc w:val="center"/>
                              <w:rPr>
                                <w:b/>
                                <w:color w:val="0070C0"/>
                              </w:rPr>
                            </w:pPr>
                            <w:r w:rsidRPr="00C77B0E">
                              <w:rPr>
                                <w:b/>
                                <w:color w:val="0070C0"/>
                              </w:rPr>
                              <w:t>Deadlines</w:t>
                            </w:r>
                          </w:p>
                          <w:p w:rsidR="00CA0595" w:rsidRDefault="008E32C6" w:rsidP="008E32C6">
                            <w:pPr>
                              <w:spacing w:after="0"/>
                            </w:pPr>
                            <w:r>
                              <w:t>To accommodate demands on faculty time and programs undergoing accreditation or program review, SOASR will be accepted on a rolling basis.</w:t>
                            </w:r>
                          </w:p>
                          <w:p w:rsidR="008E32C6" w:rsidRDefault="008E32C6" w:rsidP="008E32C6">
                            <w:pPr>
                              <w:spacing w:after="0"/>
                            </w:pPr>
                            <w:r>
                              <w:t xml:space="preserve"> </w:t>
                            </w:r>
                          </w:p>
                          <w:p w:rsidR="008E32C6" w:rsidRPr="00CA0595" w:rsidRDefault="008E32C6" w:rsidP="008E32C6">
                            <w:pPr>
                              <w:spacing w:after="0"/>
                              <w:rPr>
                                <w:b/>
                                <w:i/>
                              </w:rPr>
                            </w:pPr>
                            <w:r w:rsidRPr="00CA0595">
                              <w:rPr>
                                <w:b/>
                                <w:i/>
                              </w:rPr>
                              <w:t>CONSULT YOUR ASSOCIATE DEAN OR ASSESSMENT DIRECTOR REGARDING</w:t>
                            </w:r>
                            <w:r w:rsidR="00CA0595" w:rsidRPr="00CA0595">
                              <w:rPr>
                                <w:b/>
                                <w:i/>
                              </w:rPr>
                              <w:t xml:space="preserve"> ANY </w:t>
                            </w:r>
                            <w:r w:rsidR="00B92CEC" w:rsidRPr="00CA0595">
                              <w:rPr>
                                <w:b/>
                                <w:i/>
                              </w:rPr>
                              <w:t xml:space="preserve">INTERNAL </w:t>
                            </w:r>
                            <w:r w:rsidRPr="00CA0595">
                              <w:rPr>
                                <w:b/>
                                <w:i/>
                              </w:rPr>
                              <w:t>DEADLINES.</w:t>
                            </w:r>
                          </w:p>
                          <w:p w:rsidR="008E32C6" w:rsidRDefault="008E32C6" w:rsidP="008E32C6">
                            <w:pPr>
                              <w:spacing w:after="0"/>
                              <w:rPr>
                                <w:b/>
                              </w:rPr>
                            </w:pPr>
                          </w:p>
                          <w:p w:rsidR="008E32C6" w:rsidRDefault="008E32C6" w:rsidP="008E32C6">
                            <w:pPr>
                              <w:spacing w:after="0"/>
                            </w:pPr>
                            <w:r>
                              <w:rPr>
                                <w:b/>
                              </w:rPr>
                              <w:t xml:space="preserve">Early Submission: </w:t>
                            </w:r>
                            <w:r w:rsidR="006F61D1">
                              <w:rPr>
                                <w:b/>
                                <w:color w:val="0070C0"/>
                              </w:rPr>
                              <w:t>September 1, 2023</w:t>
                            </w:r>
                          </w:p>
                          <w:p w:rsidR="008E32C6" w:rsidRDefault="008E32C6" w:rsidP="008E32C6">
                            <w:pPr>
                              <w:spacing w:after="0"/>
                            </w:pPr>
                          </w:p>
                          <w:p w:rsidR="008E32C6" w:rsidRDefault="008E32C6" w:rsidP="008E32C6">
                            <w:pPr>
                              <w:spacing w:after="0"/>
                            </w:pPr>
                            <w:r>
                              <w:rPr>
                                <w:b/>
                              </w:rPr>
                              <w:t>Last Day to Submit:</w:t>
                            </w:r>
                            <w:r>
                              <w:t xml:space="preserve"> </w:t>
                            </w:r>
                            <w:r w:rsidR="006F61D1">
                              <w:rPr>
                                <w:b/>
                                <w:color w:val="0070C0"/>
                              </w:rPr>
                              <w:t>November 17, 2023</w:t>
                            </w:r>
                          </w:p>
                          <w:p w:rsidR="008E32C6" w:rsidRDefault="008E32C6" w:rsidP="008E32C6">
                            <w:pPr>
                              <w:spacing w:after="0"/>
                            </w:pPr>
                          </w:p>
                          <w:p w:rsidR="008E32C6" w:rsidRDefault="008E32C6" w:rsidP="008E32C6">
                            <w:pPr>
                              <w:spacing w:after="0"/>
                              <w:rPr>
                                <w:b/>
                              </w:rPr>
                            </w:pPr>
                            <w:r>
                              <w:rPr>
                                <w:b/>
                              </w:rPr>
                              <w:t xml:space="preserve">How to Submit: </w:t>
                            </w:r>
                          </w:p>
                          <w:p w:rsidR="008E32C6" w:rsidRPr="008E32C6" w:rsidRDefault="008E32C6" w:rsidP="008E32C6">
                            <w:pPr>
                              <w:spacing w:after="0"/>
                            </w:pPr>
                            <w:r>
                              <w:t xml:space="preserve">Consult your college Associate Dean or Assessment Director, as guidelines vary by college.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5.5pt;margin-top:.5pt;width:142.5pt;height:357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">
                <v:textbox>
                  <w:txbxContent>
                    <w:p w14:paraId="09BA776D" w14:textId="77777777" w:rsidR="008E32C6" w:rsidRPr="00C77B0E" w:rsidRDefault="00724903" w:rsidP="00FD1954">
                      <w:pPr>
                        <w:spacing w:after="0"/>
                        <w:jc w:val="center"/>
                        <w:rPr>
                          <w:b/>
                          <w:color w:val="0070C0"/>
                        </w:rPr>
                      </w:pPr>
                      <w:r w:rsidRPr="00C77B0E">
                        <w:rPr>
                          <w:b/>
                          <w:color w:val="0070C0"/>
                        </w:rPr>
                        <w:t>Deadlines</w:t>
                      </w:r>
                    </w:p>
                    <w:p w14:paraId="518443EC" w14:textId="77777777" w:rsidR="00CA0595" w:rsidRDefault="008E32C6" w:rsidP="008E32C6">
                      <w:pPr>
                        <w:spacing w:after="0"/>
                      </w:pPr>
                      <w:r>
                        <w:t>To accommodate demands on faculty time and programs undergoing accreditation or program review, SOASR will be accepted on a rolling basis.</w:t>
                      </w:r>
                    </w:p>
                    <w:p w14:paraId="5A2E9ED5" w14:textId="77777777" w:rsidR="008E32C6" w:rsidRDefault="008E32C6" w:rsidP="008E32C6">
                      <w:pPr>
                        <w:spacing w:after="0"/>
                      </w:pPr>
                      <w:r>
                        <w:t xml:space="preserve"> </w:t>
                      </w:r>
                    </w:p>
                    <w:p w14:paraId="49903303" w14:textId="77777777" w:rsidR="008E32C6" w:rsidRPr="00CA0595" w:rsidRDefault="008E32C6" w:rsidP="008E32C6">
                      <w:pPr>
                        <w:spacing w:after="0"/>
                        <w:rPr>
                          <w:b/>
                          <w:i/>
                        </w:rPr>
                      </w:pPr>
                      <w:r w:rsidRPr="00CA0595">
                        <w:rPr>
                          <w:b/>
                          <w:i/>
                        </w:rPr>
                        <w:t>CONSULT YOUR ASSOCIATE DEAN OR ASSESSMENT DIRECTOR REGARDING</w:t>
                      </w:r>
                      <w:r w:rsidR="00CA0595" w:rsidRPr="00CA0595">
                        <w:rPr>
                          <w:b/>
                          <w:i/>
                        </w:rPr>
                        <w:t xml:space="preserve"> ANY </w:t>
                      </w:r>
                      <w:r w:rsidR="00B92CEC" w:rsidRPr="00CA0595">
                        <w:rPr>
                          <w:b/>
                          <w:i/>
                        </w:rPr>
                        <w:t xml:space="preserve">INTERNAL </w:t>
                      </w:r>
                      <w:r w:rsidRPr="00CA0595">
                        <w:rPr>
                          <w:b/>
                          <w:i/>
                        </w:rPr>
                        <w:t>DEADLINES.</w:t>
                      </w:r>
                    </w:p>
                    <w:p w14:paraId="3C01C791" w14:textId="77777777" w:rsidR="008E32C6" w:rsidRDefault="008E32C6" w:rsidP="008E32C6">
                      <w:pPr>
                        <w:spacing w:after="0"/>
                        <w:rPr>
                          <w:b/>
                        </w:rPr>
                      </w:pPr>
                    </w:p>
                    <w:p w14:paraId="2B51D879" w14:textId="63A8E271" w:rsidR="008E32C6" w:rsidRDefault="008E32C6" w:rsidP="008E32C6">
                      <w:pPr>
                        <w:spacing w:after="0"/>
                      </w:pPr>
                      <w:r>
                        <w:rPr>
                          <w:b/>
                        </w:rPr>
                        <w:t xml:space="preserve">Early Submission: </w:t>
                      </w:r>
                      <w:r w:rsidR="006F61D1">
                        <w:rPr>
                          <w:b/>
                          <w:color w:val="0070C0"/>
                        </w:rPr>
                        <w:t>September 1, 2023</w:t>
                      </w:r>
                    </w:p>
                    <w:p w14:paraId="7DEA68C7" w14:textId="77777777" w:rsidR="008E32C6" w:rsidRDefault="008E32C6" w:rsidP="008E32C6">
                      <w:pPr>
                        <w:spacing w:after="0"/>
                      </w:pPr>
                    </w:p>
                    <w:p w14:paraId="24C29DCB" w14:textId="07354BDE" w:rsidR="008E32C6" w:rsidRDefault="008E32C6" w:rsidP="008E32C6">
                      <w:pPr>
                        <w:spacing w:after="0"/>
                      </w:pPr>
                      <w:r>
                        <w:rPr>
                          <w:b/>
                        </w:rPr>
                        <w:t>Last Day to Submit:</w:t>
                      </w:r>
                      <w:r>
                        <w:t xml:space="preserve"> </w:t>
                      </w:r>
                      <w:r w:rsidR="006F61D1">
                        <w:rPr>
                          <w:b/>
                          <w:color w:val="0070C0"/>
                        </w:rPr>
                        <w:t>November 17, 2023</w:t>
                      </w:r>
                    </w:p>
                    <w:p w14:paraId="592C4631" w14:textId="77777777" w:rsidR="008E32C6" w:rsidRDefault="008E32C6" w:rsidP="008E32C6">
                      <w:pPr>
                        <w:spacing w:after="0"/>
                      </w:pPr>
                    </w:p>
                    <w:p w14:paraId="128DB0A7" w14:textId="77777777" w:rsidR="008E32C6" w:rsidRDefault="008E32C6" w:rsidP="008E32C6">
                      <w:pPr>
                        <w:spacing w:after="0"/>
                        <w:rPr>
                          <w:b/>
                        </w:rPr>
                      </w:pPr>
                      <w:r>
                        <w:rPr>
                          <w:b/>
                        </w:rPr>
                        <w:t xml:space="preserve">How to Submit: </w:t>
                      </w:r>
                    </w:p>
                    <w:p w14:paraId="60BEAAE4" w14:textId="77777777" w:rsidR="008E32C6" w:rsidRPr="008E32C6" w:rsidRDefault="008E32C6" w:rsidP="008E32C6">
                      <w:pPr>
                        <w:spacing w:after="0"/>
                      </w:pPr>
                      <w:r>
                        <w:t xml:space="preserve">Consult your college Associate Dean or Assessment Director, as guidelines vary by college. </w:t>
                      </w:r>
                    </w:p>
                  </w:txbxContent>
                </v:textbox>
                <w10:wrap type="square" anchorx="margin"/>
              </v:shape>
            </w:pict>
          </mc:Fallback>
        </mc:AlternateContent>
      </w:r>
      <w:r w:rsidR="00E278FA" w:rsidRPr="00C77B0E">
        <w:rPr>
          <w:b/>
          <w:color w:val="0070C0"/>
          <w:sz w:val="28"/>
        </w:rPr>
        <w:t>Student Outcomes Assessment &amp; Success</w:t>
      </w:r>
      <w:r w:rsidR="00C77B0E">
        <w:rPr>
          <w:b/>
          <w:color w:val="0070C0"/>
          <w:sz w:val="28"/>
        </w:rPr>
        <w:t xml:space="preserve"> Reports</w:t>
      </w:r>
      <w:r w:rsidR="000A3480">
        <w:rPr>
          <w:b/>
          <w:color w:val="0070C0"/>
          <w:sz w:val="28"/>
        </w:rPr>
        <w:t xml:space="preserve"> 2022-23</w:t>
      </w:r>
      <w:bookmarkStart w:id="0" w:name="_GoBack"/>
      <w:bookmarkEnd w:id="0"/>
    </w:p>
    <w:p w:rsidR="00E278FA" w:rsidRDefault="00CA0595" w:rsidP="00FD1954">
      <w:pPr>
        <w:spacing w:after="0"/>
        <w:rPr>
          <w:b/>
          <w:sz w:val="28"/>
        </w:rPr>
      </w:pPr>
      <w:r w:rsidRPr="00B92CEC">
        <w:rPr>
          <w:b/>
          <w:noProof/>
          <w:sz w:val="28"/>
        </w:rPr>
        <mc:AlternateContent>
          <mc:Choice Requires="wps">
            <w:drawing>
              <wp:anchor distT="45720" distB="45720" distL="114300" distR="114300" simplePos="0" relativeHeight="251668480" behindDoc="0" locked="0" layoutInCell="1" allowOverlap="1">
                <wp:simplePos x="0" y="0"/>
                <wp:positionH relativeFrom="margin">
                  <wp:align>right</wp:align>
                </wp:positionH>
                <wp:positionV relativeFrom="paragraph">
                  <wp:posOffset>4407535</wp:posOffset>
                </wp:positionV>
                <wp:extent cx="1816100" cy="1568450"/>
                <wp:effectExtent l="0" t="0" r="12700" b="127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1568450"/>
                        </a:xfrm>
                        <a:prstGeom prst="rect">
                          <a:avLst/>
                        </a:prstGeom>
                        <a:solidFill>
                          <a:srgbClr val="FFFFFF"/>
                        </a:solidFill>
                        <a:ln w="9525">
                          <a:solidFill>
                            <a:srgbClr val="000000"/>
                          </a:solidFill>
                          <a:miter lim="800000"/>
                          <a:headEnd/>
                          <a:tailEnd/>
                        </a:ln>
                      </wps:spPr>
                      <wps:txbx>
                        <w:txbxContent>
                          <w:p w:rsidR="006F61D1" w:rsidRDefault="006F61D1" w:rsidP="00FD1954">
                            <w:pPr>
                              <w:spacing w:after="0"/>
                              <w:jc w:val="center"/>
                              <w:rPr>
                                <w:b/>
                              </w:rPr>
                            </w:pPr>
                          </w:p>
                          <w:p w:rsidR="00FD1954" w:rsidRPr="00FD1954" w:rsidRDefault="00FD1954" w:rsidP="00FD1954">
                            <w:pPr>
                              <w:spacing w:after="0"/>
                              <w:jc w:val="center"/>
                              <w:rPr>
                                <w:b/>
                              </w:rPr>
                            </w:pPr>
                            <w:r>
                              <w:rPr>
                                <w:b/>
                              </w:rPr>
                              <w:t>For assistance contact Kelley Woods-Johnson</w:t>
                            </w:r>
                            <w:r w:rsidR="00B92CEC">
                              <w:rPr>
                                <w:b/>
                              </w:rPr>
                              <w:t>:</w:t>
                            </w:r>
                            <w:r>
                              <w:rPr>
                                <w:b/>
                              </w:rPr>
                              <w:t xml:space="preserve"> </w:t>
                            </w:r>
                            <w:hyperlink r:id="rId7" w:history="1">
                              <w:r w:rsidRPr="00604A94">
                                <w:rPr>
                                  <w:rStyle w:val="Hyperlink"/>
                                  <w:b/>
                                </w:rPr>
                                <w:t>kelley.woods-johnson@indstate.edu</w:t>
                              </w:r>
                            </w:hyperlink>
                            <w:r w:rsidR="006F61D1">
                              <w:rPr>
                                <w:b/>
                              </w:rPr>
                              <w:t xml:space="preserve"> or at extension 7975.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1.8pt;margin-top:347.05pt;width:143pt;height:123.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">
                <v:textbox>
                  <w:txbxContent>
                    <w:p w14:paraId="5714E7E9" w14:textId="77777777" w:rsidR="006F61D1" w:rsidRDefault="006F61D1" w:rsidP="00FD1954">
                      <w:pPr>
                        <w:spacing w:after="0"/>
                        <w:jc w:val="center"/>
                        <w:rPr>
                          <w:b/>
                        </w:rPr>
                      </w:pPr>
                    </w:p>
                    <w:p w14:paraId="63DA8398" w14:textId="42FF4C0A" w:rsidR="00FD1954" w:rsidRPr="00FD1954" w:rsidRDefault="00FD1954" w:rsidP="00FD1954">
                      <w:pPr>
                        <w:spacing w:after="0"/>
                        <w:jc w:val="center"/>
                        <w:rPr>
                          <w:b/>
                        </w:rPr>
                      </w:pPr>
                      <w:r>
                        <w:rPr>
                          <w:b/>
                        </w:rPr>
                        <w:t>For assistance contact Kelley Woods-Johnson</w:t>
                      </w:r>
                      <w:r w:rsidR="00B92CEC">
                        <w:rPr>
                          <w:b/>
                        </w:rPr>
                        <w:t>:</w:t>
                      </w:r>
                      <w:r>
                        <w:rPr>
                          <w:b/>
                        </w:rPr>
                        <w:t xml:space="preserve"> </w:t>
                      </w:r>
                      <w:hyperlink r:id="rId8" w:history="1">
                        <w:r w:rsidRPr="00604A94">
                          <w:rPr>
                            <w:rStyle w:val="Hyperlink"/>
                            <w:b/>
                          </w:rPr>
                          <w:t>kelley.woods-johnson@indstate.edu</w:t>
                        </w:r>
                      </w:hyperlink>
                      <w:r w:rsidR="006F61D1">
                        <w:rPr>
                          <w:b/>
                        </w:rPr>
                        <w:t xml:space="preserve"> or at extension 7975.</w:t>
                      </w:r>
                    </w:p>
                  </w:txbxContent>
                </v:textbox>
                <w10:wrap type="square" anchorx="margin"/>
              </v:shape>
            </w:pict>
          </mc:Fallback>
        </mc:AlternateContent>
      </w:r>
      <w:r w:rsidR="00B92CEC" w:rsidRPr="00C2021F">
        <w:rPr>
          <w:b/>
          <w:noProof/>
          <w:sz w:val="32"/>
        </w:rPr>
        <mc:AlternateContent>
          <mc:Choice Requires="wps">
            <w:drawing>
              <wp:anchor distT="45720" distB="45720" distL="114300" distR="114300" simplePos="0" relativeHeight="251664384" behindDoc="0" locked="0" layoutInCell="1" allowOverlap="1">
                <wp:simplePos x="0" y="0"/>
                <wp:positionH relativeFrom="margin">
                  <wp:align>left</wp:align>
                </wp:positionH>
                <wp:positionV relativeFrom="paragraph">
                  <wp:posOffset>292735</wp:posOffset>
                </wp:positionV>
                <wp:extent cx="7175500" cy="568325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0" cy="5683250"/>
                        </a:xfrm>
                        <a:prstGeom prst="rect">
                          <a:avLst/>
                        </a:prstGeom>
                        <a:solidFill>
                          <a:srgbClr val="FFFFFF"/>
                        </a:solidFill>
                        <a:ln w="9525">
                          <a:solidFill>
                            <a:schemeClr val="tx1"/>
                          </a:solidFill>
                          <a:miter lim="800000"/>
                          <a:headEnd/>
                          <a:tailEnd/>
                        </a:ln>
                      </wps:spPr>
                      <wps:txbx>
                        <w:txbxContent>
                          <w:p w:rsidR="00C2021F" w:rsidRPr="00C77B0E" w:rsidRDefault="00C2021F" w:rsidP="00C2021F">
                            <w:pPr>
                              <w:spacing w:after="0"/>
                              <w:rPr>
                                <w:b/>
                                <w:color w:val="0070C0"/>
                              </w:rPr>
                            </w:pPr>
                            <w:r w:rsidRPr="00C77B0E">
                              <w:rPr>
                                <w:b/>
                                <w:color w:val="0070C0"/>
                              </w:rPr>
                              <w:t>Purpose</w:t>
                            </w:r>
                          </w:p>
                          <w:p w:rsidR="008807A7" w:rsidRPr="008807A7" w:rsidRDefault="008807A7" w:rsidP="00C2021F">
                            <w:pPr>
                              <w:spacing w:after="0"/>
                            </w:pPr>
                            <w:r w:rsidRPr="008807A7">
                              <w:t xml:space="preserve">Annual Student Outcomes Assessment &amp; Success Reports </w:t>
                            </w:r>
                            <w:r w:rsidRPr="00850A38">
                              <w:rPr>
                                <w:b/>
                              </w:rPr>
                              <w:t>(SOASRs)</w:t>
                            </w:r>
                            <w:r w:rsidRPr="008807A7">
                              <w:t xml:space="preserve"> are first and foremost tools for facilitating faculty reflection, planning, and documentation of efforts to ensure student learning and success. Regular engagement in and transparent reporting of this process also ser</w:t>
                            </w:r>
                            <w:r w:rsidR="00850A38">
                              <w:t>ves as assurance to students</w:t>
                            </w:r>
                            <w:r w:rsidRPr="008807A7">
                              <w:t xml:space="preserve"> and stakeholders of our commitment to student learning and success</w:t>
                            </w:r>
                            <w:r w:rsidR="008E32C6">
                              <w:t>, as well as an opportunity for strengthening assessment practices and the data they yield</w:t>
                            </w:r>
                            <w:r w:rsidRPr="008807A7">
                              <w:t xml:space="preserve">. </w:t>
                            </w:r>
                          </w:p>
                          <w:p w:rsidR="008807A7" w:rsidRPr="008807A7" w:rsidRDefault="008807A7" w:rsidP="00C2021F">
                            <w:pPr>
                              <w:spacing w:after="0"/>
                            </w:pPr>
                          </w:p>
                          <w:p w:rsidR="00724903" w:rsidRPr="008807A7" w:rsidRDefault="006B7A6C" w:rsidP="00C2021F">
                            <w:pPr>
                              <w:spacing w:after="0"/>
                            </w:pPr>
                            <w:r w:rsidRPr="008807A7">
                              <w:t xml:space="preserve">Regular assessment of student achievement of learning outcomes is an important indicator for faculty </w:t>
                            </w:r>
                            <w:r w:rsidR="008807A7" w:rsidRPr="008807A7">
                              <w:t xml:space="preserve">to gauge </w:t>
                            </w:r>
                            <w:r w:rsidRPr="008807A7">
                              <w:t>student progress through their academic programs. Unlike course grades, well-designed learning outcomes assessment provides more accurate insights into student mastery of the core intended outcomes of an academic degree program</w:t>
                            </w:r>
                            <w:r w:rsidR="00572FD8">
                              <w:t xml:space="preserve">, and can inform faculty planning for success and continuous improvement. </w:t>
                            </w:r>
                          </w:p>
                          <w:p w:rsidR="006B7A6C" w:rsidRPr="008807A7" w:rsidRDefault="006B7A6C" w:rsidP="00C2021F">
                            <w:pPr>
                              <w:spacing w:after="0"/>
                            </w:pPr>
                          </w:p>
                          <w:p w:rsidR="00C2021F" w:rsidRPr="008807A7" w:rsidRDefault="006B7A6C" w:rsidP="00C2021F">
                            <w:pPr>
                              <w:spacing w:after="0"/>
                            </w:pPr>
                            <w:r w:rsidRPr="008807A7">
                              <w:t xml:space="preserve">Student learning is central to student success, but we know that success is influenced by </w:t>
                            </w:r>
                            <w:r w:rsidR="008807A7" w:rsidRPr="008807A7">
                              <w:t xml:space="preserve">many </w:t>
                            </w:r>
                            <w:r w:rsidRPr="008807A7">
                              <w:t>factors. Regular review</w:t>
                            </w:r>
                            <w:r w:rsidR="00572FD8">
                              <w:t xml:space="preserve"> of accepted measures</w:t>
                            </w:r>
                            <w:r w:rsidRPr="008807A7">
                              <w:t>, such as retention, persisten</w:t>
                            </w:r>
                            <w:r w:rsidR="00572FD8">
                              <w:t xml:space="preserve">ce, </w:t>
                            </w:r>
                            <w:r w:rsidRPr="008807A7">
                              <w:t>and graduation rates provides useful reference points for evaluation of program goals and reflection on the valuable</w:t>
                            </w:r>
                            <w:r w:rsidR="00FD1954">
                              <w:t xml:space="preserve"> activities</w:t>
                            </w:r>
                            <w:r w:rsidR="008807A7" w:rsidRPr="008807A7">
                              <w:t xml:space="preserve"> faculty engage in to support students and promote their success. </w:t>
                            </w:r>
                          </w:p>
                          <w:p w:rsidR="008807A7" w:rsidRPr="00FD1954" w:rsidRDefault="008807A7" w:rsidP="00C2021F">
                            <w:pPr>
                              <w:spacing w:after="0"/>
                              <w:rPr>
                                <w:b/>
                              </w:rPr>
                            </w:pPr>
                          </w:p>
                          <w:p w:rsidR="00C2021F" w:rsidRPr="00C77B0E" w:rsidRDefault="00C2021F" w:rsidP="00C2021F">
                            <w:pPr>
                              <w:spacing w:after="0"/>
                              <w:rPr>
                                <w:b/>
                                <w:color w:val="0070C0"/>
                              </w:rPr>
                            </w:pPr>
                            <w:r w:rsidRPr="00C77B0E">
                              <w:rPr>
                                <w:b/>
                                <w:color w:val="0070C0"/>
                              </w:rPr>
                              <w:t>Instructions</w:t>
                            </w:r>
                          </w:p>
                          <w:p w:rsidR="008807A7" w:rsidRDefault="00850A38" w:rsidP="00850A38">
                            <w:pPr>
                              <w:pStyle w:val="ListParagraph"/>
                              <w:numPr>
                                <w:ilvl w:val="0"/>
                                <w:numId w:val="1"/>
                              </w:numPr>
                              <w:spacing w:after="0"/>
                            </w:pPr>
                            <w:r>
                              <w:t xml:space="preserve">The annual SOASR documents outcomes from the PRIOR academic year, as outlined in your program assessment plan. The report due this year reflects </w:t>
                            </w:r>
                            <w:r w:rsidR="006F61D1">
                              <w:rPr>
                                <w:b/>
                                <w:u w:val="single"/>
                              </w:rPr>
                              <w:t>AY 22-23</w:t>
                            </w:r>
                            <w:r>
                              <w:t xml:space="preserve">.  </w:t>
                            </w:r>
                            <w:r w:rsidR="00CA0595">
                              <w:t>You do not need to report on all program outcomes every year.</w:t>
                            </w:r>
                          </w:p>
                          <w:p w:rsidR="00B92CEC" w:rsidRDefault="00B92CEC" w:rsidP="00850A38">
                            <w:pPr>
                              <w:pStyle w:val="ListParagraph"/>
                              <w:numPr>
                                <w:ilvl w:val="0"/>
                                <w:numId w:val="1"/>
                              </w:numPr>
                              <w:spacing w:after="0"/>
                            </w:pPr>
                            <w:r>
                              <w:t xml:space="preserve">Include program faculty, at minimum, in the discussion of assessment results and actions to be taken based on findings, and preferably throughout the assessment process. </w:t>
                            </w:r>
                          </w:p>
                          <w:p w:rsidR="00850A38" w:rsidRDefault="00850A38" w:rsidP="00850A38">
                            <w:pPr>
                              <w:pStyle w:val="ListParagraph"/>
                              <w:numPr>
                                <w:ilvl w:val="0"/>
                                <w:numId w:val="1"/>
                              </w:numPr>
                              <w:spacing w:after="0"/>
                            </w:pPr>
                            <w:r>
                              <w:t>C</w:t>
                            </w:r>
                            <w:r w:rsidR="00CA0595">
                              <w:t>omplete</w:t>
                            </w:r>
                            <w:r w:rsidR="006F61D1">
                              <w:t xml:space="preserve"> EITHER</w:t>
                            </w:r>
                            <w:r>
                              <w:t xml:space="preserve"> the </w:t>
                            </w:r>
                            <w:r w:rsidRPr="00CA0595">
                              <w:rPr>
                                <w:b/>
                              </w:rPr>
                              <w:t>Table Format</w:t>
                            </w:r>
                            <w:r>
                              <w:t xml:space="preserve"> (</w:t>
                            </w:r>
                            <w:r w:rsidR="00A2341A">
                              <w:t>Option</w:t>
                            </w:r>
                            <w:r w:rsidR="00674B87">
                              <w:t xml:space="preserve"> A) </w:t>
                            </w:r>
                            <w:r w:rsidR="00674B87" w:rsidRPr="00CA0595">
                              <w:rPr>
                                <w:b/>
                                <w:u w:val="single"/>
                              </w:rPr>
                              <w:t>OR</w:t>
                            </w:r>
                            <w:r w:rsidR="00674B87">
                              <w:t xml:space="preserve"> the </w:t>
                            </w:r>
                            <w:r w:rsidR="00674B87" w:rsidRPr="00CA0595">
                              <w:rPr>
                                <w:b/>
                              </w:rPr>
                              <w:t>Narrative Format</w:t>
                            </w:r>
                            <w:r w:rsidR="00A2341A">
                              <w:t xml:space="preserve"> (Option</w:t>
                            </w:r>
                            <w:r w:rsidR="00674B87">
                              <w:t xml:space="preserve"> B) </w:t>
                            </w:r>
                            <w:r w:rsidR="00CA0595">
                              <w:t xml:space="preserve">report </w:t>
                            </w:r>
                            <w:r w:rsidR="00674B87">
                              <w:t>based on</w:t>
                            </w:r>
                            <w:r w:rsidR="00CA0595">
                              <w:t xml:space="preserve"> what makes sense for</w:t>
                            </w:r>
                            <w:r w:rsidR="00674B87">
                              <w:t xml:space="preserve"> you</w:t>
                            </w:r>
                            <w:r w:rsidR="00CA0595">
                              <w:t>r discipline. While both forms</w:t>
                            </w:r>
                            <w:r w:rsidR="00674B87">
                              <w:t xml:space="preserve"> will include some narrative reflectio</w:t>
                            </w:r>
                            <w:r w:rsidR="00CA0595">
                              <w:t xml:space="preserve">n and specific data reporting, </w:t>
                            </w:r>
                            <w:r w:rsidR="00674B87">
                              <w:t>feedback</w:t>
                            </w:r>
                            <w:r w:rsidR="00FD1954">
                              <w:t xml:space="preserve"> </w:t>
                            </w:r>
                            <w:r w:rsidR="00CA0595">
                              <w:t xml:space="preserve">from faculty </w:t>
                            </w:r>
                            <w:r w:rsidR="00674B87">
                              <w:t xml:space="preserve">suggests this option </w:t>
                            </w:r>
                            <w:r w:rsidR="00CA0595">
                              <w:t xml:space="preserve">makes reporting more useful. </w:t>
                            </w:r>
                          </w:p>
                          <w:p w:rsidR="00B92CEC" w:rsidRDefault="00B92CEC" w:rsidP="00B92CEC">
                            <w:pPr>
                              <w:pStyle w:val="ListParagraph"/>
                              <w:numPr>
                                <w:ilvl w:val="0"/>
                                <w:numId w:val="1"/>
                              </w:numPr>
                              <w:spacing w:after="0"/>
                            </w:pPr>
                            <w:r>
                              <w:t>If helpful, r</w:t>
                            </w:r>
                            <w:r w:rsidR="00674B87">
                              <w:t xml:space="preserve">eview the SOASR Rubric (separate attachment) that will be used to provide program faculty with feedback on their assessment practices to get a sense of what details would </w:t>
                            </w:r>
                            <w:r>
                              <w:t>be useful to include in your report.</w:t>
                            </w:r>
                          </w:p>
                          <w:p w:rsidR="00572FD8" w:rsidRDefault="00572FD8" w:rsidP="00B92CEC">
                            <w:pPr>
                              <w:spacing w:after="0"/>
                              <w:rPr>
                                <w:b/>
                                <w:i/>
                              </w:rPr>
                            </w:pPr>
                          </w:p>
                          <w:p w:rsidR="002B48F8" w:rsidRDefault="00572FD8" w:rsidP="00B92CEC">
                            <w:pPr>
                              <w:spacing w:after="0"/>
                            </w:pPr>
                            <w:r>
                              <w:rPr>
                                <w:b/>
                                <w:i/>
                              </w:rPr>
                              <w:t>For programs currently undergoing accreditation review:</w:t>
                            </w:r>
                            <w:r>
                              <w:t xml:space="preserve"> It is recognized that accreditation review often meets or exceeds institutional evaluation standards. If you 1) report program student learning outcome data to your accreditor, 2) data from the current AY for the SOASR is included in your accreditation report, and 3) your report will be complete</w:t>
                            </w:r>
                            <w:r w:rsidR="00CA0595">
                              <w:t>d</w:t>
                            </w:r>
                            <w:r>
                              <w:t xml:space="preserve"> by the last day to submit the SOASR, you may request an alternate reporting format to streamline your efforts.</w:t>
                            </w:r>
                          </w:p>
                          <w:p w:rsidR="002B48F8" w:rsidRDefault="002B48F8" w:rsidP="00B92CEC">
                            <w:pPr>
                              <w:spacing w:after="0"/>
                            </w:pPr>
                          </w:p>
                          <w:p w:rsidR="002B48F8" w:rsidRDefault="002B48F8" w:rsidP="00B92CEC">
                            <w:pPr>
                              <w:spacing w:after="0"/>
                            </w:pPr>
                          </w:p>
                          <w:p w:rsidR="002B48F8" w:rsidRDefault="002B48F8" w:rsidP="00B92CEC">
                            <w:pPr>
                              <w:spacing w:after="0"/>
                            </w:pPr>
                          </w:p>
                          <w:p w:rsidR="002B48F8" w:rsidRDefault="002B48F8" w:rsidP="00B92CEC">
                            <w:pPr>
                              <w:spacing w:after="0"/>
                            </w:pPr>
                          </w:p>
                          <w:p w:rsidR="002B48F8" w:rsidRDefault="002B48F8" w:rsidP="00B92CEC">
                            <w:pPr>
                              <w:spacing w:after="0"/>
                            </w:pPr>
                          </w:p>
                          <w:p w:rsidR="002B48F8" w:rsidRDefault="002B48F8" w:rsidP="00B92CEC">
                            <w:pPr>
                              <w:spacing w:after="0"/>
                            </w:pPr>
                          </w:p>
                          <w:p w:rsidR="00572FD8" w:rsidRPr="00572FD8" w:rsidRDefault="00572FD8" w:rsidP="00B92CEC">
                            <w:pPr>
                              <w:spacing w:after="0"/>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23.05pt;width:565pt;height:447.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" strokecolor="black [3213]">
                <v:textbox>
                  <w:txbxContent>
                    <w:p w14:paraId="0E324EAD" w14:textId="77777777" w:rsidR="00C2021F" w:rsidRPr="00C77B0E" w:rsidRDefault="00C2021F" w:rsidP="00C2021F">
                      <w:pPr>
                        <w:spacing w:after="0"/>
                        <w:rPr>
                          <w:b/>
                          <w:color w:val="0070C0"/>
                        </w:rPr>
                      </w:pPr>
                      <w:r w:rsidRPr="00C77B0E">
                        <w:rPr>
                          <w:b/>
                          <w:color w:val="0070C0"/>
                        </w:rPr>
                        <w:t>Purpose</w:t>
                      </w:r>
                    </w:p>
                    <w:p w14:paraId="3B00F7AC" w14:textId="77777777" w:rsidR="008807A7" w:rsidRPr="008807A7" w:rsidRDefault="008807A7" w:rsidP="00C2021F">
                      <w:pPr>
                        <w:spacing w:after="0"/>
                      </w:pPr>
                      <w:r w:rsidRPr="008807A7">
                        <w:t xml:space="preserve">Annual Student Outcomes Assessment &amp; Success Reports </w:t>
                      </w:r>
                      <w:r w:rsidRPr="00850A38">
                        <w:rPr>
                          <w:b/>
                        </w:rPr>
                        <w:t>(SOASRs)</w:t>
                      </w:r>
                      <w:r w:rsidRPr="008807A7">
                        <w:t xml:space="preserve"> are first and foremost tools for facilitating faculty reflection, planning, and documentation of efforts to ensure student learning and success. Regular engagement in and transparent reporting of this process also ser</w:t>
                      </w:r>
                      <w:r w:rsidR="00850A38">
                        <w:t>ves as assurance to students</w:t>
                      </w:r>
                      <w:r w:rsidRPr="008807A7">
                        <w:t xml:space="preserve"> and stakeholders of our commitment to student learning and success</w:t>
                      </w:r>
                      <w:r w:rsidR="008E32C6">
                        <w:t>, as well as an opportunity for strengthening assessment practices and the data they yield</w:t>
                      </w:r>
                      <w:r w:rsidRPr="008807A7">
                        <w:t xml:space="preserve">. </w:t>
                      </w:r>
                    </w:p>
                    <w:p w14:paraId="2F2A5D7F" w14:textId="77777777" w:rsidR="008807A7" w:rsidRPr="008807A7" w:rsidRDefault="008807A7" w:rsidP="00C2021F">
                      <w:pPr>
                        <w:spacing w:after="0"/>
                      </w:pPr>
                    </w:p>
                    <w:p w14:paraId="0751AD14" w14:textId="77777777" w:rsidR="00724903" w:rsidRPr="008807A7" w:rsidRDefault="006B7A6C" w:rsidP="00C2021F">
                      <w:pPr>
                        <w:spacing w:after="0"/>
                      </w:pPr>
                      <w:r w:rsidRPr="008807A7">
                        <w:t xml:space="preserve">Regular assessment of student achievement of learning outcomes is an important indicator for faculty </w:t>
                      </w:r>
                      <w:r w:rsidR="008807A7" w:rsidRPr="008807A7">
                        <w:t xml:space="preserve">to gauge </w:t>
                      </w:r>
                      <w:r w:rsidRPr="008807A7">
                        <w:t>student progress through their academic programs. Unlike course grades, well-designed learning outcomes assessment provides more accurate insights into student mastery of the core intended outcomes of an academic degree program</w:t>
                      </w:r>
                      <w:r w:rsidR="00572FD8">
                        <w:t xml:space="preserve">, and can inform faculty planning for success and continuous improvement. </w:t>
                      </w:r>
                    </w:p>
                    <w:p w14:paraId="636986DF" w14:textId="77777777" w:rsidR="006B7A6C" w:rsidRPr="008807A7" w:rsidRDefault="006B7A6C" w:rsidP="00C2021F">
                      <w:pPr>
                        <w:spacing w:after="0"/>
                      </w:pPr>
                    </w:p>
                    <w:p w14:paraId="6267F21A" w14:textId="77777777" w:rsidR="00C2021F" w:rsidRPr="008807A7" w:rsidRDefault="006B7A6C" w:rsidP="00C2021F">
                      <w:pPr>
                        <w:spacing w:after="0"/>
                      </w:pPr>
                      <w:r w:rsidRPr="008807A7">
                        <w:t xml:space="preserve">Student learning is central to student success, but we know that success is influenced by </w:t>
                      </w:r>
                      <w:r w:rsidR="008807A7" w:rsidRPr="008807A7">
                        <w:t xml:space="preserve">many </w:t>
                      </w:r>
                      <w:r w:rsidRPr="008807A7">
                        <w:t>factors. Regular review</w:t>
                      </w:r>
                      <w:r w:rsidR="00572FD8">
                        <w:t xml:space="preserve"> of accepted measures</w:t>
                      </w:r>
                      <w:r w:rsidRPr="008807A7">
                        <w:t>, such as retention, persisten</w:t>
                      </w:r>
                      <w:r w:rsidR="00572FD8">
                        <w:t xml:space="preserve">ce, </w:t>
                      </w:r>
                      <w:r w:rsidRPr="008807A7">
                        <w:t>and graduation rates provides useful reference points for evaluation of program goals and reflection on the valuable</w:t>
                      </w:r>
                      <w:r w:rsidR="00FD1954">
                        <w:t xml:space="preserve"> activities</w:t>
                      </w:r>
                      <w:r w:rsidR="008807A7" w:rsidRPr="008807A7">
                        <w:t xml:space="preserve"> faculty engage in to support students and promote their success. </w:t>
                      </w:r>
                    </w:p>
                    <w:p w14:paraId="48BFA829" w14:textId="77777777" w:rsidR="008807A7" w:rsidRPr="00FD1954" w:rsidRDefault="008807A7" w:rsidP="00C2021F">
                      <w:pPr>
                        <w:spacing w:after="0"/>
                        <w:rPr>
                          <w:b/>
                        </w:rPr>
                      </w:pPr>
                    </w:p>
                    <w:p w14:paraId="7BA30921" w14:textId="77777777" w:rsidR="00C2021F" w:rsidRPr="00C77B0E" w:rsidRDefault="00C2021F" w:rsidP="00C2021F">
                      <w:pPr>
                        <w:spacing w:after="0"/>
                        <w:rPr>
                          <w:b/>
                          <w:color w:val="0070C0"/>
                        </w:rPr>
                      </w:pPr>
                      <w:r w:rsidRPr="00C77B0E">
                        <w:rPr>
                          <w:b/>
                          <w:color w:val="0070C0"/>
                        </w:rPr>
                        <w:t>Instructions</w:t>
                      </w:r>
                    </w:p>
                    <w:p w14:paraId="38A227D5" w14:textId="1FAF5151" w:rsidR="008807A7" w:rsidRDefault="00850A38" w:rsidP="00850A38">
                      <w:pPr>
                        <w:pStyle w:val="ListParagraph"/>
                        <w:numPr>
                          <w:ilvl w:val="0"/>
                          <w:numId w:val="1"/>
                        </w:numPr>
                        <w:spacing w:after="0"/>
                      </w:pPr>
                      <w:r>
                        <w:t xml:space="preserve">The annual SOASR documents outcomes from the PRIOR academic year, as outlined in your program assessment plan. The report due this year reflects </w:t>
                      </w:r>
                      <w:r w:rsidR="006F61D1">
                        <w:rPr>
                          <w:b/>
                          <w:u w:val="single"/>
                        </w:rPr>
                        <w:t>AY 22-23</w:t>
                      </w:r>
                      <w:r>
                        <w:t xml:space="preserve">.  </w:t>
                      </w:r>
                      <w:r w:rsidR="00CA0595">
                        <w:t>You do not need to report on all program outcomes every year.</w:t>
                      </w:r>
                    </w:p>
                    <w:p w14:paraId="3FDEDF22" w14:textId="77777777" w:rsidR="00B92CEC" w:rsidRDefault="00B92CEC" w:rsidP="00850A38">
                      <w:pPr>
                        <w:pStyle w:val="ListParagraph"/>
                        <w:numPr>
                          <w:ilvl w:val="0"/>
                          <w:numId w:val="1"/>
                        </w:numPr>
                        <w:spacing w:after="0"/>
                      </w:pPr>
                      <w:r>
                        <w:t xml:space="preserve">Include program faculty, at minimum, in the discussion of assessment results and actions to be taken based on findings, and preferably throughout the assessment process. </w:t>
                      </w:r>
                    </w:p>
                    <w:p w14:paraId="64230380" w14:textId="624EAC5B" w:rsidR="00850A38" w:rsidRDefault="00850A38" w:rsidP="00850A38">
                      <w:pPr>
                        <w:pStyle w:val="ListParagraph"/>
                        <w:numPr>
                          <w:ilvl w:val="0"/>
                          <w:numId w:val="1"/>
                        </w:numPr>
                        <w:spacing w:after="0"/>
                      </w:pPr>
                      <w:r>
                        <w:t>C</w:t>
                      </w:r>
                      <w:r w:rsidR="00CA0595">
                        <w:t>omplete</w:t>
                      </w:r>
                      <w:r w:rsidR="006F61D1">
                        <w:t xml:space="preserve"> EITHER</w:t>
                      </w:r>
                      <w:r>
                        <w:t xml:space="preserve"> the </w:t>
                      </w:r>
                      <w:r w:rsidRPr="00CA0595">
                        <w:rPr>
                          <w:b/>
                        </w:rPr>
                        <w:t>Table Format</w:t>
                      </w:r>
                      <w:r>
                        <w:t xml:space="preserve"> (</w:t>
                      </w:r>
                      <w:r w:rsidR="00A2341A">
                        <w:t>Option</w:t>
                      </w:r>
                      <w:r w:rsidR="00674B87">
                        <w:t xml:space="preserve"> A) </w:t>
                      </w:r>
                      <w:r w:rsidR="00674B87" w:rsidRPr="00CA0595">
                        <w:rPr>
                          <w:b/>
                          <w:u w:val="single"/>
                        </w:rPr>
                        <w:t>OR</w:t>
                      </w:r>
                      <w:r w:rsidR="00674B87">
                        <w:t xml:space="preserve"> the </w:t>
                      </w:r>
                      <w:r w:rsidR="00674B87" w:rsidRPr="00CA0595">
                        <w:rPr>
                          <w:b/>
                        </w:rPr>
                        <w:t>Narrative Format</w:t>
                      </w:r>
                      <w:r w:rsidR="00A2341A">
                        <w:t xml:space="preserve"> (Option</w:t>
                      </w:r>
                      <w:r w:rsidR="00674B87">
                        <w:t xml:space="preserve"> B) </w:t>
                      </w:r>
                      <w:r w:rsidR="00CA0595">
                        <w:t xml:space="preserve">report </w:t>
                      </w:r>
                      <w:r w:rsidR="00674B87">
                        <w:t>based on</w:t>
                      </w:r>
                      <w:r w:rsidR="00CA0595">
                        <w:t xml:space="preserve"> what makes sense for</w:t>
                      </w:r>
                      <w:r w:rsidR="00674B87">
                        <w:t xml:space="preserve"> you</w:t>
                      </w:r>
                      <w:r w:rsidR="00CA0595">
                        <w:t>r discipline. While both forms</w:t>
                      </w:r>
                      <w:r w:rsidR="00674B87">
                        <w:t xml:space="preserve"> will include some narrative reflectio</w:t>
                      </w:r>
                      <w:r w:rsidR="00CA0595">
                        <w:t xml:space="preserve">n and specific data reporting, </w:t>
                      </w:r>
                      <w:r w:rsidR="00674B87">
                        <w:t>feedback</w:t>
                      </w:r>
                      <w:r w:rsidR="00FD1954">
                        <w:t xml:space="preserve"> </w:t>
                      </w:r>
                      <w:r w:rsidR="00CA0595">
                        <w:t xml:space="preserve">from faculty </w:t>
                      </w:r>
                      <w:r w:rsidR="00674B87">
                        <w:t xml:space="preserve">suggests this option </w:t>
                      </w:r>
                      <w:r w:rsidR="00CA0595">
                        <w:t xml:space="preserve">makes reporting more useful. </w:t>
                      </w:r>
                    </w:p>
                    <w:p w14:paraId="2E4A31C6" w14:textId="77777777" w:rsidR="00B92CEC" w:rsidRDefault="00B92CEC" w:rsidP="00B92CEC">
                      <w:pPr>
                        <w:pStyle w:val="ListParagraph"/>
                        <w:numPr>
                          <w:ilvl w:val="0"/>
                          <w:numId w:val="1"/>
                        </w:numPr>
                        <w:spacing w:after="0"/>
                      </w:pPr>
                      <w:r>
                        <w:t>If helpful, r</w:t>
                      </w:r>
                      <w:r w:rsidR="00674B87">
                        <w:t xml:space="preserve">eview the SOASR Rubric (separate attachment) that will be used to provide program faculty with feedback on their assessment practices to get a sense of what details would </w:t>
                      </w:r>
                      <w:r>
                        <w:t>be useful to include in your report.</w:t>
                      </w:r>
                    </w:p>
                    <w:p w14:paraId="6F643E76" w14:textId="77777777" w:rsidR="00572FD8" w:rsidRDefault="00572FD8" w:rsidP="00B92CEC">
                      <w:pPr>
                        <w:spacing w:after="0"/>
                        <w:rPr>
                          <w:b/>
                          <w:i/>
                        </w:rPr>
                      </w:pPr>
                    </w:p>
                    <w:p w14:paraId="73BD2448" w14:textId="77777777" w:rsidR="002B48F8" w:rsidRDefault="00572FD8" w:rsidP="00B92CEC">
                      <w:pPr>
                        <w:spacing w:after="0"/>
                      </w:pPr>
                      <w:r>
                        <w:rPr>
                          <w:b/>
                          <w:i/>
                        </w:rPr>
                        <w:t>For programs currently undergoing accreditation review:</w:t>
                      </w:r>
                      <w:r>
                        <w:t xml:space="preserve"> It is recognized that accreditation review often meets or exceeds institutional evaluation standards. If you 1) report program student learning outcome data to your accreditor, 2) data from the current AY for the SOASR is included in your accreditation report, and 3) your report will be complete</w:t>
                      </w:r>
                      <w:r w:rsidR="00CA0595">
                        <w:t>d</w:t>
                      </w:r>
                      <w:r>
                        <w:t xml:space="preserve"> by the last day to submit the SOASR, you may request an alternate reporting format to streamline your efforts.</w:t>
                      </w:r>
                    </w:p>
                    <w:p w14:paraId="3A25E241" w14:textId="77777777" w:rsidR="002B48F8" w:rsidRDefault="002B48F8" w:rsidP="00B92CEC">
                      <w:pPr>
                        <w:spacing w:after="0"/>
                      </w:pPr>
                    </w:p>
                    <w:p w14:paraId="5A65BA71" w14:textId="77777777" w:rsidR="002B48F8" w:rsidRDefault="002B48F8" w:rsidP="00B92CEC">
                      <w:pPr>
                        <w:spacing w:after="0"/>
                      </w:pPr>
                    </w:p>
                    <w:p w14:paraId="0BAE714C" w14:textId="77777777" w:rsidR="002B48F8" w:rsidRDefault="002B48F8" w:rsidP="00B92CEC">
                      <w:pPr>
                        <w:spacing w:after="0"/>
                      </w:pPr>
                    </w:p>
                    <w:p w14:paraId="3E3D27D5" w14:textId="77777777" w:rsidR="002B48F8" w:rsidRDefault="002B48F8" w:rsidP="00B92CEC">
                      <w:pPr>
                        <w:spacing w:after="0"/>
                      </w:pPr>
                    </w:p>
                    <w:p w14:paraId="4B2DEB33" w14:textId="77777777" w:rsidR="002B48F8" w:rsidRDefault="002B48F8" w:rsidP="00B92CEC">
                      <w:pPr>
                        <w:spacing w:after="0"/>
                      </w:pPr>
                    </w:p>
                    <w:p w14:paraId="3BA4CEAE" w14:textId="77777777" w:rsidR="002B48F8" w:rsidRDefault="002B48F8" w:rsidP="00B92CEC">
                      <w:pPr>
                        <w:spacing w:after="0"/>
                      </w:pPr>
                    </w:p>
                    <w:p w14:paraId="3C99CA2B" w14:textId="77777777" w:rsidR="00572FD8" w:rsidRPr="00572FD8" w:rsidRDefault="00572FD8" w:rsidP="00B92CEC">
                      <w:pPr>
                        <w:spacing w:after="0"/>
                      </w:pPr>
                      <w:r>
                        <w:t xml:space="preserve"> </w:t>
                      </w:r>
                    </w:p>
                  </w:txbxContent>
                </v:textbox>
                <w10:wrap type="square" anchorx="margin"/>
              </v:shape>
            </w:pict>
          </mc:Fallback>
        </mc:AlternateContent>
      </w:r>
      <w:r w:rsidR="00E278FA" w:rsidRPr="00B92CEC">
        <w:rPr>
          <w:b/>
          <w:sz w:val="28"/>
        </w:rPr>
        <w:t>Annual Reporting Guidelines for Academic Programs</w:t>
      </w:r>
    </w:p>
    <w:p w:rsidR="006F61D1" w:rsidRDefault="006F61D1" w:rsidP="00AA6EFB">
      <w:pPr>
        <w:spacing w:after="0"/>
        <w:rPr>
          <w:b/>
          <w:color w:val="0070C0"/>
          <w:sz w:val="24"/>
        </w:rPr>
      </w:pPr>
    </w:p>
    <w:p w:rsidR="002B48F8" w:rsidRDefault="006F61D1" w:rsidP="00AA6EFB">
      <w:pPr>
        <w:spacing w:after="0"/>
        <w:rPr>
          <w:b/>
          <w:sz w:val="24"/>
        </w:rPr>
      </w:pPr>
      <w:r>
        <w:rPr>
          <w:b/>
          <w:color w:val="0070C0"/>
          <w:sz w:val="24"/>
        </w:rPr>
        <w:lastRenderedPageBreak/>
        <w:t>AY 22-23</w:t>
      </w:r>
      <w:r w:rsidR="00CA58C1" w:rsidRPr="00C77B0E">
        <w:rPr>
          <w:b/>
          <w:color w:val="0070C0"/>
          <w:sz w:val="24"/>
        </w:rPr>
        <w:t xml:space="preserve"> </w:t>
      </w:r>
      <w:r w:rsidR="00AA6EFB" w:rsidRPr="00C77B0E">
        <w:rPr>
          <w:b/>
          <w:color w:val="0070C0"/>
          <w:sz w:val="24"/>
        </w:rPr>
        <w:t>STUDENT OUTCOMES ASSESSMENT &amp; SUCCESS REPORT</w:t>
      </w:r>
      <w:r w:rsidR="00AA6EFB" w:rsidRPr="00C77B0E">
        <w:rPr>
          <w:b/>
          <w:color w:val="0070C0"/>
          <w:sz w:val="24"/>
        </w:rPr>
        <w:tab/>
      </w:r>
      <w:r w:rsidR="00AA6EFB" w:rsidRPr="00C77B0E">
        <w:rPr>
          <w:b/>
          <w:color w:val="0070C0"/>
          <w:sz w:val="24"/>
        </w:rPr>
        <w:tab/>
      </w:r>
      <w:r w:rsidR="00AA6EFB" w:rsidRPr="00C77B0E">
        <w:rPr>
          <w:b/>
          <w:color w:val="0070C0"/>
          <w:sz w:val="24"/>
        </w:rPr>
        <w:tab/>
      </w:r>
      <w:r w:rsidR="00CA58C1" w:rsidRPr="00C77B0E">
        <w:rPr>
          <w:b/>
          <w:color w:val="0070C0"/>
          <w:sz w:val="24"/>
        </w:rPr>
        <w:tab/>
      </w:r>
      <w:r w:rsidR="00AA6EFB" w:rsidRPr="00C77B0E">
        <w:rPr>
          <w:b/>
          <w:color w:val="0070C0"/>
          <w:sz w:val="24"/>
        </w:rPr>
        <w:tab/>
      </w:r>
      <w:r w:rsidR="00AA6EFB" w:rsidRPr="00C77B0E">
        <w:rPr>
          <w:b/>
          <w:color w:val="0070C0"/>
          <w:sz w:val="24"/>
        </w:rPr>
        <w:tab/>
      </w:r>
      <w:r w:rsidR="00AA6EFB" w:rsidRPr="00C77B0E">
        <w:rPr>
          <w:b/>
          <w:color w:val="0070C0"/>
          <w:sz w:val="24"/>
        </w:rPr>
        <w:tab/>
      </w:r>
      <w:r w:rsidR="00AA6EFB" w:rsidRPr="00C77B0E">
        <w:rPr>
          <w:b/>
          <w:color w:val="0070C0"/>
          <w:sz w:val="24"/>
        </w:rPr>
        <w:tab/>
      </w:r>
      <w:r w:rsidR="00A2341A">
        <w:rPr>
          <w:b/>
          <w:color w:val="0070C0"/>
          <w:sz w:val="24"/>
        </w:rPr>
        <w:t>OPTION</w:t>
      </w:r>
      <w:r w:rsidR="002B48F8" w:rsidRPr="00C77B0E">
        <w:rPr>
          <w:b/>
          <w:color w:val="0070C0"/>
          <w:sz w:val="24"/>
        </w:rPr>
        <w:t xml:space="preserve"> A: TABLE FORMAT</w:t>
      </w:r>
    </w:p>
    <w:p w:rsidR="00407A5F" w:rsidRDefault="00407A5F" w:rsidP="00B02DE6">
      <w:pPr>
        <w:spacing w:after="0"/>
        <w:rPr>
          <w:b/>
          <w:sz w:val="24"/>
        </w:rPr>
      </w:pPr>
    </w:p>
    <w:tbl>
      <w:tblPr>
        <w:tblStyle w:val="TableGrid"/>
        <w:tblW w:w="0" w:type="auto"/>
        <w:tblLook w:val="04A0" w:firstRow="1" w:lastRow="0" w:firstColumn="1" w:lastColumn="0" w:noHBand="0" w:noVBand="1"/>
      </w:tblPr>
      <w:tblGrid>
        <w:gridCol w:w="2065"/>
        <w:gridCol w:w="8640"/>
        <w:gridCol w:w="270"/>
        <w:gridCol w:w="900"/>
        <w:gridCol w:w="2515"/>
      </w:tblGrid>
      <w:tr w:rsidR="00DA7C6C" w:rsidRPr="00DA7C6C" w:rsidTr="003C2C58">
        <w:tc>
          <w:tcPr>
            <w:tcW w:w="2065" w:type="dxa"/>
            <w:shd w:val="clear" w:color="auto" w:fill="E7E6E6" w:themeFill="background2"/>
          </w:tcPr>
          <w:p w:rsidR="00DA7C6C" w:rsidRPr="00DA7C6C" w:rsidRDefault="00DA7C6C" w:rsidP="00FD1954">
            <w:pPr>
              <w:rPr>
                <w:b/>
              </w:rPr>
            </w:pPr>
            <w:r w:rsidRPr="00DA7C6C">
              <w:rPr>
                <w:b/>
              </w:rPr>
              <w:t>Academic Program:</w:t>
            </w:r>
          </w:p>
        </w:tc>
        <w:tc>
          <w:tcPr>
            <w:tcW w:w="8910" w:type="dxa"/>
            <w:gridSpan w:val="2"/>
          </w:tcPr>
          <w:p w:rsidR="00DA7C6C" w:rsidRPr="003C2C58" w:rsidRDefault="00DA7C6C" w:rsidP="00FD1954"/>
        </w:tc>
        <w:tc>
          <w:tcPr>
            <w:tcW w:w="900" w:type="dxa"/>
            <w:shd w:val="clear" w:color="auto" w:fill="E7E6E6" w:themeFill="background2"/>
          </w:tcPr>
          <w:p w:rsidR="00DA7C6C" w:rsidRPr="00DA7C6C" w:rsidRDefault="00DA7C6C" w:rsidP="00FD1954">
            <w:pPr>
              <w:rPr>
                <w:b/>
              </w:rPr>
            </w:pPr>
            <w:r w:rsidRPr="00DA7C6C">
              <w:rPr>
                <w:b/>
              </w:rPr>
              <w:t xml:space="preserve">Date: </w:t>
            </w:r>
          </w:p>
        </w:tc>
        <w:tc>
          <w:tcPr>
            <w:tcW w:w="2515" w:type="dxa"/>
          </w:tcPr>
          <w:p w:rsidR="00DA7C6C" w:rsidRPr="003C2C58" w:rsidRDefault="00DA7C6C" w:rsidP="00FD1954"/>
        </w:tc>
      </w:tr>
      <w:tr w:rsidR="00DA7C6C" w:rsidRPr="00DA7C6C" w:rsidTr="003C2C58">
        <w:tc>
          <w:tcPr>
            <w:tcW w:w="2065" w:type="dxa"/>
            <w:shd w:val="clear" w:color="auto" w:fill="E7E6E6" w:themeFill="background2"/>
          </w:tcPr>
          <w:p w:rsidR="00DA7C6C" w:rsidRPr="00DA7C6C" w:rsidRDefault="00DA7C6C" w:rsidP="00FD1954">
            <w:pPr>
              <w:rPr>
                <w:b/>
              </w:rPr>
            </w:pPr>
            <w:r w:rsidRPr="00DA7C6C">
              <w:rPr>
                <w:b/>
              </w:rPr>
              <w:t>Author(s):</w:t>
            </w:r>
          </w:p>
        </w:tc>
        <w:tc>
          <w:tcPr>
            <w:tcW w:w="12325" w:type="dxa"/>
            <w:gridSpan w:val="4"/>
          </w:tcPr>
          <w:p w:rsidR="00DA7C6C" w:rsidRPr="003C2C58" w:rsidRDefault="00DA7C6C" w:rsidP="00FD1954"/>
        </w:tc>
      </w:tr>
      <w:tr w:rsidR="00750AEC" w:rsidRPr="00DA7C6C" w:rsidTr="006F61D1">
        <w:tc>
          <w:tcPr>
            <w:tcW w:w="10705" w:type="dxa"/>
            <w:gridSpan w:val="2"/>
            <w:shd w:val="clear" w:color="auto" w:fill="E7E6E6" w:themeFill="background2"/>
          </w:tcPr>
          <w:p w:rsidR="00750AEC" w:rsidRPr="00750AEC" w:rsidRDefault="00750AEC" w:rsidP="00D954B6">
            <w:pPr>
              <w:rPr>
                <w:b/>
              </w:rPr>
            </w:pPr>
            <w:r w:rsidRPr="00750AEC">
              <w:rPr>
                <w:b/>
              </w:rPr>
              <w:t xml:space="preserve">Verify that each of the following documents is correct and current on the </w:t>
            </w:r>
            <w:hyperlink r:id="rId9" w:history="1">
              <w:r w:rsidRPr="00750AEC">
                <w:rPr>
                  <w:rStyle w:val="Hyperlink"/>
                  <w:b/>
                </w:rPr>
                <w:t>ISU Assessment Results Webpage</w:t>
              </w:r>
            </w:hyperlink>
            <w:r w:rsidRPr="00750AEC">
              <w:rPr>
                <w:b/>
              </w:rPr>
              <w:t xml:space="preserve"> by marking with an “X.” </w:t>
            </w:r>
            <w:r w:rsidRPr="00750AEC">
              <w:t>Please submit any updated documents and/or corrections as soon as possible to Kelley Woods-Johnson,</w:t>
            </w:r>
            <w:r w:rsidR="00D954B6">
              <w:t xml:space="preserve"> Director of Assessment &amp; Program Effectiveness, </w:t>
            </w:r>
            <w:r w:rsidRPr="00750AEC">
              <w:t xml:space="preserve">at </w:t>
            </w:r>
            <w:hyperlink r:id="rId10" w:history="1">
              <w:r w:rsidRPr="00750AEC">
                <w:rPr>
                  <w:rStyle w:val="Hyperlink"/>
                </w:rPr>
                <w:t>kelley.woods-johnson@indstate.edu</w:t>
              </w:r>
            </w:hyperlink>
            <w:r w:rsidRPr="00750AEC">
              <w:t xml:space="preserve">. </w:t>
            </w:r>
          </w:p>
        </w:tc>
        <w:tc>
          <w:tcPr>
            <w:tcW w:w="3685" w:type="dxa"/>
            <w:gridSpan w:val="3"/>
          </w:tcPr>
          <w:p w:rsidR="00750AEC" w:rsidRPr="00C10C9E" w:rsidRDefault="00750AEC" w:rsidP="00750AEC">
            <w:r w:rsidRPr="00C10C9E">
              <w:t>___ Learning Outcomes</w:t>
            </w:r>
          </w:p>
          <w:p w:rsidR="00750AEC" w:rsidRPr="00C10C9E" w:rsidRDefault="00750AEC" w:rsidP="00750AEC">
            <w:r w:rsidRPr="00C10C9E">
              <w:t xml:space="preserve">___ Curriculum Map </w:t>
            </w:r>
          </w:p>
          <w:p w:rsidR="00750AEC" w:rsidRPr="00C10C9E" w:rsidRDefault="00750AEC" w:rsidP="00750AEC">
            <w:r w:rsidRPr="00C10C9E">
              <w:t xml:space="preserve">___ Assessment Plan </w:t>
            </w:r>
          </w:p>
          <w:p w:rsidR="00750AEC" w:rsidRPr="00C10C9E" w:rsidRDefault="00750AEC" w:rsidP="00750AEC">
            <w:pPr>
              <w:rPr>
                <w:sz w:val="6"/>
              </w:rPr>
            </w:pPr>
          </w:p>
        </w:tc>
      </w:tr>
      <w:tr w:rsidR="00750AEC" w:rsidRPr="00DA7C6C" w:rsidTr="006F61D1">
        <w:tc>
          <w:tcPr>
            <w:tcW w:w="10705" w:type="dxa"/>
            <w:gridSpan w:val="2"/>
            <w:shd w:val="clear" w:color="auto" w:fill="E7E6E6" w:themeFill="background2"/>
          </w:tcPr>
          <w:p w:rsidR="00750AEC" w:rsidRPr="00750AEC" w:rsidRDefault="006F61D1" w:rsidP="006F61D1">
            <w:pPr>
              <w:rPr>
                <w:b/>
              </w:rPr>
            </w:pPr>
            <w:r>
              <w:rPr>
                <w:b/>
              </w:rPr>
              <w:t xml:space="preserve">How is this program offered? </w:t>
            </w:r>
            <w:r w:rsidR="00750AEC" w:rsidRPr="00750AEC">
              <w:rPr>
                <w:b/>
              </w:rPr>
              <w:t xml:space="preserve">If </w:t>
            </w:r>
            <w:r>
              <w:rPr>
                <w:b/>
              </w:rPr>
              <w:t xml:space="preserve">“Both,” data should be disaggregated by campus and distance students. </w:t>
            </w:r>
          </w:p>
        </w:tc>
        <w:tc>
          <w:tcPr>
            <w:tcW w:w="3685" w:type="dxa"/>
            <w:gridSpan w:val="3"/>
          </w:tcPr>
          <w:p w:rsidR="00750AEC" w:rsidRPr="00C10C9E" w:rsidRDefault="00750AEC" w:rsidP="00750AEC">
            <w:r w:rsidRPr="00C10C9E">
              <w:t>_</w:t>
            </w:r>
            <w:r w:rsidR="006F61D1">
              <w:t>__ Campus</w:t>
            </w:r>
            <w:r w:rsidR="00B02DE6" w:rsidRPr="00C10C9E">
              <w:t xml:space="preserve">   </w:t>
            </w:r>
            <w:r w:rsidR="006F61D1">
              <w:t>___ Distance  ___ Both</w:t>
            </w:r>
          </w:p>
          <w:p w:rsidR="00750AEC" w:rsidRPr="00C10C9E" w:rsidRDefault="00750AEC" w:rsidP="00750AEC">
            <w:pPr>
              <w:rPr>
                <w:sz w:val="6"/>
              </w:rPr>
            </w:pPr>
          </w:p>
        </w:tc>
      </w:tr>
    </w:tbl>
    <w:p w:rsidR="00DA7C6C" w:rsidRDefault="00DA7C6C" w:rsidP="00FD1954">
      <w:pPr>
        <w:spacing w:after="0"/>
        <w:rPr>
          <w:b/>
          <w:sz w:val="24"/>
        </w:rPr>
      </w:pPr>
    </w:p>
    <w:p w:rsidR="00B02DE6" w:rsidRPr="0048281D" w:rsidRDefault="00B02DE6" w:rsidP="0048281D">
      <w:pPr>
        <w:pStyle w:val="ListParagraph"/>
        <w:numPr>
          <w:ilvl w:val="0"/>
          <w:numId w:val="2"/>
        </w:numPr>
        <w:spacing w:after="0"/>
        <w:rPr>
          <w:b/>
          <w:i/>
        </w:rPr>
      </w:pPr>
      <w:r w:rsidRPr="0048281D">
        <w:rPr>
          <w:b/>
          <w:color w:val="0070C0"/>
          <w:sz w:val="24"/>
        </w:rPr>
        <w:t>Stude</w:t>
      </w:r>
      <w:r w:rsidR="00AA6EFB" w:rsidRPr="0048281D">
        <w:rPr>
          <w:b/>
          <w:color w:val="0070C0"/>
          <w:sz w:val="24"/>
        </w:rPr>
        <w:t xml:space="preserve">nt Learning Outcomes Assessment </w:t>
      </w:r>
      <w:r w:rsidR="00C77B0E" w:rsidRPr="0048281D">
        <w:rPr>
          <w:sz w:val="20"/>
        </w:rPr>
        <w:t>Expand</w:t>
      </w:r>
      <w:r w:rsidR="00B156C3">
        <w:rPr>
          <w:sz w:val="20"/>
        </w:rPr>
        <w:t>/add</w:t>
      </w:r>
      <w:r w:rsidR="00C77B0E" w:rsidRPr="0048281D">
        <w:rPr>
          <w:sz w:val="20"/>
        </w:rPr>
        <w:t xml:space="preserve"> table </w:t>
      </w:r>
      <w:r w:rsidRPr="0048281D">
        <w:rPr>
          <w:sz w:val="20"/>
        </w:rPr>
        <w:t>cells as necessary to accommodate requested information.</w:t>
      </w:r>
    </w:p>
    <w:tbl>
      <w:tblPr>
        <w:tblStyle w:val="TableGrid"/>
        <w:tblW w:w="0" w:type="auto"/>
        <w:tblLook w:val="04A0" w:firstRow="1" w:lastRow="0" w:firstColumn="1" w:lastColumn="0" w:noHBand="0" w:noVBand="1"/>
      </w:tblPr>
      <w:tblGrid>
        <w:gridCol w:w="2605"/>
        <w:gridCol w:w="1080"/>
        <w:gridCol w:w="2610"/>
        <w:gridCol w:w="1710"/>
        <w:gridCol w:w="1440"/>
        <w:gridCol w:w="2700"/>
        <w:gridCol w:w="2245"/>
      </w:tblGrid>
      <w:tr w:rsidR="00407A5F" w:rsidTr="00166EBB">
        <w:tc>
          <w:tcPr>
            <w:tcW w:w="2605" w:type="dxa"/>
            <w:vMerge w:val="restart"/>
            <w:shd w:val="clear" w:color="auto" w:fill="E7E6E6" w:themeFill="background2"/>
            <w:vAlign w:val="center"/>
          </w:tcPr>
          <w:p w:rsidR="00407A5F" w:rsidRDefault="00407A5F" w:rsidP="00B02DE6">
            <w:pPr>
              <w:jc w:val="center"/>
              <w:rPr>
                <w:b/>
              </w:rPr>
            </w:pPr>
            <w:r w:rsidRPr="00B02DE6">
              <w:rPr>
                <w:b/>
              </w:rPr>
              <w:t>Learning Outcome</w:t>
            </w:r>
            <w:r>
              <w:rPr>
                <w:b/>
              </w:rPr>
              <w:t>(</w:t>
            </w:r>
            <w:r w:rsidRPr="00B02DE6">
              <w:rPr>
                <w:b/>
              </w:rPr>
              <w:t>s</w:t>
            </w:r>
            <w:r>
              <w:rPr>
                <w:b/>
              </w:rPr>
              <w:t>)</w:t>
            </w:r>
            <w:r w:rsidRPr="00B02DE6">
              <w:rPr>
                <w:b/>
              </w:rPr>
              <w:t xml:space="preserve"> Assessed</w:t>
            </w:r>
          </w:p>
          <w:p w:rsidR="00407A5F" w:rsidRPr="00C77B0E" w:rsidRDefault="000547EA" w:rsidP="00B02DE6">
            <w:pPr>
              <w:jc w:val="center"/>
            </w:pPr>
            <w:r w:rsidRPr="00C77B0E">
              <w:rPr>
                <w:sz w:val="20"/>
              </w:rPr>
              <w:t>Include actual outcome language; enter one per line, add lines as needed</w:t>
            </w:r>
          </w:p>
        </w:tc>
        <w:tc>
          <w:tcPr>
            <w:tcW w:w="5400" w:type="dxa"/>
            <w:gridSpan w:val="3"/>
            <w:shd w:val="clear" w:color="auto" w:fill="E7E6E6" w:themeFill="background2"/>
            <w:vAlign w:val="center"/>
          </w:tcPr>
          <w:p w:rsidR="00407A5F" w:rsidRPr="00B02DE6" w:rsidRDefault="00407A5F" w:rsidP="00B02DE6">
            <w:pPr>
              <w:jc w:val="center"/>
              <w:rPr>
                <w:b/>
              </w:rPr>
            </w:pPr>
            <w:r>
              <w:rPr>
                <w:b/>
              </w:rPr>
              <w:t>Assessment Strategies</w:t>
            </w:r>
            <w:r w:rsidR="00AA6EFB">
              <w:rPr>
                <w:b/>
              </w:rPr>
              <w:t xml:space="preserve"> Used</w:t>
            </w:r>
          </w:p>
        </w:tc>
        <w:tc>
          <w:tcPr>
            <w:tcW w:w="1440" w:type="dxa"/>
            <w:vMerge w:val="restart"/>
            <w:shd w:val="clear" w:color="auto" w:fill="E7E6E6" w:themeFill="background2"/>
            <w:vAlign w:val="center"/>
          </w:tcPr>
          <w:p w:rsidR="00407A5F" w:rsidRPr="00B02DE6" w:rsidRDefault="00407A5F" w:rsidP="00B02DE6">
            <w:pPr>
              <w:jc w:val="center"/>
              <w:rPr>
                <w:b/>
              </w:rPr>
            </w:pPr>
            <w:r>
              <w:rPr>
                <w:b/>
              </w:rPr>
              <w:t>Established Benchmark for Proficiency</w:t>
            </w:r>
          </w:p>
        </w:tc>
        <w:tc>
          <w:tcPr>
            <w:tcW w:w="2700" w:type="dxa"/>
            <w:vMerge w:val="restart"/>
            <w:shd w:val="clear" w:color="auto" w:fill="E7E6E6" w:themeFill="background2"/>
            <w:vAlign w:val="center"/>
          </w:tcPr>
          <w:p w:rsidR="00407A5F" w:rsidRPr="00B02DE6" w:rsidRDefault="00407A5F" w:rsidP="00B02DE6">
            <w:pPr>
              <w:jc w:val="center"/>
              <w:rPr>
                <w:b/>
              </w:rPr>
            </w:pPr>
            <w:r>
              <w:rPr>
                <w:b/>
              </w:rPr>
              <w:t>Actual Student Performance Relative to Benchmark</w:t>
            </w:r>
          </w:p>
        </w:tc>
        <w:tc>
          <w:tcPr>
            <w:tcW w:w="2245" w:type="dxa"/>
            <w:vMerge w:val="restart"/>
            <w:shd w:val="clear" w:color="auto" w:fill="E7E6E6" w:themeFill="background2"/>
            <w:vAlign w:val="center"/>
          </w:tcPr>
          <w:p w:rsidR="00C77B0E" w:rsidRDefault="00AA6EFB" w:rsidP="00B02DE6">
            <w:pPr>
              <w:jc w:val="center"/>
              <w:rPr>
                <w:b/>
              </w:rPr>
            </w:pPr>
            <w:r>
              <w:rPr>
                <w:b/>
              </w:rPr>
              <w:t xml:space="preserve">Prior Results for Comparison </w:t>
            </w:r>
          </w:p>
          <w:p w:rsidR="00407A5F" w:rsidRPr="00C77B0E" w:rsidRDefault="00407A5F" w:rsidP="00C77B0E">
            <w:pPr>
              <w:jc w:val="center"/>
              <w:rPr>
                <w:b/>
              </w:rPr>
            </w:pPr>
          </w:p>
        </w:tc>
      </w:tr>
      <w:tr w:rsidR="00407A5F" w:rsidTr="00166EBB">
        <w:trPr>
          <w:trHeight w:val="50"/>
        </w:trPr>
        <w:tc>
          <w:tcPr>
            <w:tcW w:w="2605" w:type="dxa"/>
            <w:vMerge/>
          </w:tcPr>
          <w:p w:rsidR="00407A5F" w:rsidRPr="00B02DE6" w:rsidRDefault="00407A5F" w:rsidP="00B02DE6">
            <w:pPr>
              <w:jc w:val="center"/>
              <w:rPr>
                <w:b/>
              </w:rPr>
            </w:pPr>
          </w:p>
        </w:tc>
        <w:tc>
          <w:tcPr>
            <w:tcW w:w="1080" w:type="dxa"/>
            <w:shd w:val="clear" w:color="auto" w:fill="E7E6E6" w:themeFill="background2"/>
            <w:vAlign w:val="center"/>
          </w:tcPr>
          <w:p w:rsidR="00407A5F" w:rsidRDefault="00407A5F" w:rsidP="00B02DE6">
            <w:pPr>
              <w:jc w:val="center"/>
              <w:rPr>
                <w:b/>
              </w:rPr>
            </w:pPr>
            <w:r>
              <w:rPr>
                <w:b/>
              </w:rPr>
              <w:t>Course</w:t>
            </w:r>
          </w:p>
        </w:tc>
        <w:tc>
          <w:tcPr>
            <w:tcW w:w="2610" w:type="dxa"/>
            <w:shd w:val="clear" w:color="auto" w:fill="E7E6E6" w:themeFill="background2"/>
            <w:vAlign w:val="center"/>
          </w:tcPr>
          <w:p w:rsidR="00407A5F" w:rsidRDefault="00407A5F" w:rsidP="00B02DE6">
            <w:pPr>
              <w:jc w:val="center"/>
              <w:rPr>
                <w:b/>
              </w:rPr>
            </w:pPr>
            <w:r>
              <w:rPr>
                <w:b/>
              </w:rPr>
              <w:t>Assignment/Activity</w:t>
            </w:r>
          </w:p>
        </w:tc>
        <w:tc>
          <w:tcPr>
            <w:tcW w:w="1710" w:type="dxa"/>
            <w:shd w:val="clear" w:color="auto" w:fill="E7E6E6" w:themeFill="background2"/>
            <w:vAlign w:val="center"/>
          </w:tcPr>
          <w:p w:rsidR="00407A5F" w:rsidRDefault="00407A5F" w:rsidP="00B02DE6">
            <w:pPr>
              <w:jc w:val="center"/>
              <w:rPr>
                <w:b/>
              </w:rPr>
            </w:pPr>
            <w:r>
              <w:rPr>
                <w:b/>
              </w:rPr>
              <w:t>Evaluation Tool</w:t>
            </w:r>
          </w:p>
          <w:p w:rsidR="00407A5F" w:rsidRPr="00C77B0E" w:rsidRDefault="00407A5F" w:rsidP="00B02DE6">
            <w:pPr>
              <w:jc w:val="center"/>
            </w:pPr>
            <w:r w:rsidRPr="00C77B0E">
              <w:rPr>
                <w:sz w:val="20"/>
              </w:rPr>
              <w:t xml:space="preserve">i.e. rubric, exam </w:t>
            </w:r>
            <w:r w:rsidR="00AA6EFB" w:rsidRPr="00C77B0E">
              <w:rPr>
                <w:sz w:val="20"/>
              </w:rPr>
              <w:t>key, preceptor eval</w:t>
            </w:r>
            <w:r w:rsidR="000547EA" w:rsidRPr="00C77B0E">
              <w:rPr>
                <w:sz w:val="20"/>
              </w:rPr>
              <w:t>uation</w:t>
            </w:r>
            <w:r w:rsidR="00AA6EFB" w:rsidRPr="00C77B0E">
              <w:rPr>
                <w:sz w:val="20"/>
              </w:rPr>
              <w:t>, etc.</w:t>
            </w:r>
          </w:p>
        </w:tc>
        <w:tc>
          <w:tcPr>
            <w:tcW w:w="1440" w:type="dxa"/>
            <w:vMerge/>
            <w:vAlign w:val="bottom"/>
          </w:tcPr>
          <w:p w:rsidR="00407A5F" w:rsidRDefault="00407A5F" w:rsidP="00B02DE6">
            <w:pPr>
              <w:jc w:val="center"/>
              <w:rPr>
                <w:b/>
              </w:rPr>
            </w:pPr>
          </w:p>
        </w:tc>
        <w:tc>
          <w:tcPr>
            <w:tcW w:w="2700" w:type="dxa"/>
            <w:vMerge/>
            <w:vAlign w:val="bottom"/>
          </w:tcPr>
          <w:p w:rsidR="00407A5F" w:rsidRDefault="00407A5F" w:rsidP="00B02DE6">
            <w:pPr>
              <w:jc w:val="center"/>
              <w:rPr>
                <w:b/>
              </w:rPr>
            </w:pPr>
          </w:p>
        </w:tc>
        <w:tc>
          <w:tcPr>
            <w:tcW w:w="2245" w:type="dxa"/>
            <w:vMerge/>
          </w:tcPr>
          <w:p w:rsidR="00407A5F" w:rsidRDefault="00407A5F" w:rsidP="00B02DE6">
            <w:pPr>
              <w:jc w:val="center"/>
              <w:rPr>
                <w:b/>
              </w:rPr>
            </w:pPr>
          </w:p>
        </w:tc>
      </w:tr>
      <w:tr w:rsidR="00407A5F" w:rsidTr="00166EBB">
        <w:trPr>
          <w:trHeight w:val="50"/>
        </w:trPr>
        <w:tc>
          <w:tcPr>
            <w:tcW w:w="2605" w:type="dxa"/>
          </w:tcPr>
          <w:p w:rsidR="00407A5F" w:rsidRPr="003C2C58" w:rsidRDefault="00407A5F" w:rsidP="00407A5F"/>
        </w:tc>
        <w:tc>
          <w:tcPr>
            <w:tcW w:w="1080" w:type="dxa"/>
          </w:tcPr>
          <w:p w:rsidR="00407A5F" w:rsidRPr="003C2C58" w:rsidRDefault="00407A5F" w:rsidP="00407A5F"/>
        </w:tc>
        <w:tc>
          <w:tcPr>
            <w:tcW w:w="2610" w:type="dxa"/>
          </w:tcPr>
          <w:p w:rsidR="00407A5F" w:rsidRPr="003C2C58" w:rsidRDefault="00407A5F" w:rsidP="00407A5F"/>
        </w:tc>
        <w:tc>
          <w:tcPr>
            <w:tcW w:w="1710" w:type="dxa"/>
          </w:tcPr>
          <w:p w:rsidR="00407A5F" w:rsidRPr="003C2C58" w:rsidRDefault="00407A5F" w:rsidP="00407A5F"/>
        </w:tc>
        <w:tc>
          <w:tcPr>
            <w:tcW w:w="1440" w:type="dxa"/>
          </w:tcPr>
          <w:p w:rsidR="00407A5F" w:rsidRPr="003C2C58" w:rsidRDefault="00407A5F" w:rsidP="00407A5F"/>
        </w:tc>
        <w:tc>
          <w:tcPr>
            <w:tcW w:w="2700" w:type="dxa"/>
          </w:tcPr>
          <w:p w:rsidR="00407A5F" w:rsidRPr="003C2C58" w:rsidRDefault="00407A5F" w:rsidP="00407A5F"/>
        </w:tc>
        <w:tc>
          <w:tcPr>
            <w:tcW w:w="2245" w:type="dxa"/>
          </w:tcPr>
          <w:p w:rsidR="00407A5F" w:rsidRPr="003C2C58" w:rsidRDefault="00407A5F" w:rsidP="00407A5F"/>
        </w:tc>
      </w:tr>
      <w:tr w:rsidR="00407A5F" w:rsidTr="00166EBB">
        <w:trPr>
          <w:trHeight w:val="50"/>
        </w:trPr>
        <w:tc>
          <w:tcPr>
            <w:tcW w:w="2605" w:type="dxa"/>
          </w:tcPr>
          <w:p w:rsidR="00407A5F" w:rsidRPr="003C2C58" w:rsidRDefault="00407A5F" w:rsidP="00407A5F"/>
        </w:tc>
        <w:tc>
          <w:tcPr>
            <w:tcW w:w="1080" w:type="dxa"/>
          </w:tcPr>
          <w:p w:rsidR="00407A5F" w:rsidRPr="003C2C58" w:rsidRDefault="00407A5F" w:rsidP="00407A5F"/>
        </w:tc>
        <w:tc>
          <w:tcPr>
            <w:tcW w:w="2610" w:type="dxa"/>
          </w:tcPr>
          <w:p w:rsidR="00407A5F" w:rsidRPr="003C2C58" w:rsidRDefault="00407A5F" w:rsidP="00407A5F"/>
        </w:tc>
        <w:tc>
          <w:tcPr>
            <w:tcW w:w="1710" w:type="dxa"/>
          </w:tcPr>
          <w:p w:rsidR="00407A5F" w:rsidRPr="003C2C58" w:rsidRDefault="00407A5F" w:rsidP="00407A5F"/>
        </w:tc>
        <w:tc>
          <w:tcPr>
            <w:tcW w:w="1440" w:type="dxa"/>
          </w:tcPr>
          <w:p w:rsidR="00407A5F" w:rsidRPr="003C2C58" w:rsidRDefault="00407A5F" w:rsidP="00407A5F"/>
        </w:tc>
        <w:tc>
          <w:tcPr>
            <w:tcW w:w="2700" w:type="dxa"/>
          </w:tcPr>
          <w:p w:rsidR="00407A5F" w:rsidRPr="003C2C58" w:rsidRDefault="00407A5F" w:rsidP="00407A5F"/>
        </w:tc>
        <w:tc>
          <w:tcPr>
            <w:tcW w:w="2245" w:type="dxa"/>
          </w:tcPr>
          <w:p w:rsidR="00407A5F" w:rsidRPr="003C2C58" w:rsidRDefault="00407A5F" w:rsidP="00407A5F"/>
        </w:tc>
      </w:tr>
    </w:tbl>
    <w:p w:rsidR="002F4484" w:rsidRDefault="002F4484" w:rsidP="00AA6EFB">
      <w:pPr>
        <w:spacing w:after="0"/>
        <w:rPr>
          <w:b/>
          <w:sz w:val="24"/>
        </w:rPr>
      </w:pPr>
    </w:p>
    <w:tbl>
      <w:tblPr>
        <w:tblStyle w:val="TableGrid"/>
        <w:tblW w:w="0" w:type="auto"/>
        <w:tblLook w:val="04A0" w:firstRow="1" w:lastRow="0" w:firstColumn="1" w:lastColumn="0" w:noHBand="0" w:noVBand="1"/>
      </w:tblPr>
      <w:tblGrid>
        <w:gridCol w:w="6385"/>
        <w:gridCol w:w="8005"/>
      </w:tblGrid>
      <w:tr w:rsidR="00B156C3" w:rsidTr="00B156C3">
        <w:tc>
          <w:tcPr>
            <w:tcW w:w="6385" w:type="dxa"/>
            <w:shd w:val="clear" w:color="auto" w:fill="E7E6E6" w:themeFill="background2"/>
          </w:tcPr>
          <w:p w:rsidR="00B156C3" w:rsidRDefault="00B156C3" w:rsidP="00AA6EFB">
            <w:pPr>
              <w:rPr>
                <w:b/>
                <w:sz w:val="24"/>
              </w:rPr>
            </w:pPr>
            <w:r w:rsidRPr="00B156C3">
              <w:rPr>
                <w:b/>
              </w:rPr>
              <w:t xml:space="preserve">Describe primary insights gained from analysis of findings of student learning outcomes assessment. </w:t>
            </w:r>
            <w:r>
              <w:rPr>
                <w:b/>
              </w:rPr>
              <w:t xml:space="preserve">What is going well, and what needs to be monitored or addressed? </w:t>
            </w:r>
          </w:p>
        </w:tc>
        <w:tc>
          <w:tcPr>
            <w:tcW w:w="8005" w:type="dxa"/>
          </w:tcPr>
          <w:p w:rsidR="00B156C3" w:rsidRDefault="00B156C3" w:rsidP="00AA6EFB">
            <w:pPr>
              <w:rPr>
                <w:b/>
                <w:sz w:val="24"/>
              </w:rPr>
            </w:pPr>
          </w:p>
        </w:tc>
      </w:tr>
    </w:tbl>
    <w:p w:rsidR="00B156C3" w:rsidRDefault="00B156C3" w:rsidP="00AA6EFB">
      <w:pPr>
        <w:spacing w:after="0"/>
        <w:rPr>
          <w:b/>
          <w:sz w:val="24"/>
        </w:rPr>
      </w:pPr>
    </w:p>
    <w:p w:rsidR="00AA6EFB" w:rsidRPr="0048281D" w:rsidRDefault="00407A5F" w:rsidP="0048281D">
      <w:pPr>
        <w:pStyle w:val="ListParagraph"/>
        <w:numPr>
          <w:ilvl w:val="0"/>
          <w:numId w:val="2"/>
        </w:numPr>
        <w:spacing w:after="0"/>
        <w:rPr>
          <w:b/>
          <w:i/>
          <w:color w:val="0070C0"/>
        </w:rPr>
      </w:pPr>
      <w:r w:rsidRPr="0048281D">
        <w:rPr>
          <w:b/>
          <w:color w:val="0070C0"/>
          <w:sz w:val="24"/>
        </w:rPr>
        <w:t xml:space="preserve">Student Success </w:t>
      </w:r>
      <w:r w:rsidR="000135A3">
        <w:rPr>
          <w:b/>
          <w:color w:val="0070C0"/>
          <w:sz w:val="24"/>
        </w:rPr>
        <w:t>Data Trends</w:t>
      </w:r>
    </w:p>
    <w:p w:rsidR="00AA6EFB" w:rsidRPr="003C2C58" w:rsidRDefault="006F61D1" w:rsidP="00AA6EFB">
      <w:pPr>
        <w:spacing w:after="0"/>
        <w:rPr>
          <w:sz w:val="20"/>
        </w:rPr>
      </w:pPr>
      <w:r>
        <w:rPr>
          <w:sz w:val="20"/>
        </w:rPr>
        <w:t xml:space="preserve">Department Chairs will receive and disseminate Program Data Profiles at the beginning of </w:t>
      </w:r>
      <w:r w:rsidR="0048281D">
        <w:rPr>
          <w:sz w:val="20"/>
        </w:rPr>
        <w:t xml:space="preserve">each </w:t>
      </w:r>
      <w:r>
        <w:rPr>
          <w:sz w:val="20"/>
        </w:rPr>
        <w:t>fall semester. The data in these profiles</w:t>
      </w:r>
      <w:r w:rsidR="0048281D">
        <w:rPr>
          <w:sz w:val="20"/>
        </w:rPr>
        <w:t xml:space="preserve"> summarizes trends in institutional markers of student success such recruitment, enrollment, retention, persistence, and graduation. Department and program trends in staffing and finance are also shared for review of resources and program sustainability. Data</w:t>
      </w:r>
      <w:r>
        <w:rPr>
          <w:sz w:val="20"/>
        </w:rPr>
        <w:t xml:space="preserve"> should be reviewed </w:t>
      </w:r>
      <w:r w:rsidR="0048281D">
        <w:rPr>
          <w:sz w:val="20"/>
        </w:rPr>
        <w:t xml:space="preserve">and discussed by program faculty, and insights should be documented in this section. </w:t>
      </w:r>
    </w:p>
    <w:tbl>
      <w:tblPr>
        <w:tblStyle w:val="TableGrid"/>
        <w:tblW w:w="0" w:type="auto"/>
        <w:tblLook w:val="04A0" w:firstRow="1" w:lastRow="0" w:firstColumn="1" w:lastColumn="0" w:noHBand="0" w:noVBand="1"/>
      </w:tblPr>
      <w:tblGrid>
        <w:gridCol w:w="6385"/>
        <w:gridCol w:w="8005"/>
      </w:tblGrid>
      <w:tr w:rsidR="00CA58C1" w:rsidTr="003C2C58">
        <w:tc>
          <w:tcPr>
            <w:tcW w:w="6385" w:type="dxa"/>
            <w:shd w:val="clear" w:color="auto" w:fill="E7E6E6" w:themeFill="background2"/>
          </w:tcPr>
          <w:p w:rsidR="00CA58C1" w:rsidRPr="00873240" w:rsidRDefault="000135A3" w:rsidP="00B0508E">
            <w:pPr>
              <w:rPr>
                <w:i/>
              </w:rPr>
            </w:pPr>
            <w:r w:rsidRPr="00D954B6">
              <w:rPr>
                <w:b/>
              </w:rPr>
              <w:t xml:space="preserve">What student success indicators are </w:t>
            </w:r>
            <w:r w:rsidR="00B0508E">
              <w:rPr>
                <w:b/>
              </w:rPr>
              <w:t xml:space="preserve">strong or </w:t>
            </w:r>
            <w:r w:rsidRPr="00D954B6">
              <w:rPr>
                <w:b/>
              </w:rPr>
              <w:t>trending positively</w:t>
            </w:r>
            <w:r w:rsidR="00B0508E">
              <w:rPr>
                <w:b/>
              </w:rPr>
              <w:t>?</w:t>
            </w:r>
          </w:p>
        </w:tc>
        <w:tc>
          <w:tcPr>
            <w:tcW w:w="8005" w:type="dxa"/>
          </w:tcPr>
          <w:p w:rsidR="00CA58C1" w:rsidRPr="003C2C58" w:rsidRDefault="00CA58C1">
            <w:pPr>
              <w:rPr>
                <w:sz w:val="24"/>
              </w:rPr>
            </w:pPr>
          </w:p>
        </w:tc>
      </w:tr>
      <w:tr w:rsidR="002F4484" w:rsidTr="003C2C58">
        <w:tc>
          <w:tcPr>
            <w:tcW w:w="6385" w:type="dxa"/>
            <w:shd w:val="clear" w:color="auto" w:fill="E7E6E6" w:themeFill="background2"/>
          </w:tcPr>
          <w:p w:rsidR="002F4484" w:rsidRPr="00C10C9E" w:rsidRDefault="00873240" w:rsidP="00B0508E">
            <w:pPr>
              <w:rPr>
                <w:sz w:val="24"/>
              </w:rPr>
            </w:pPr>
            <w:r w:rsidRPr="00D954B6">
              <w:rPr>
                <w:b/>
              </w:rPr>
              <w:t>What student success indicators are concerning</w:t>
            </w:r>
            <w:r w:rsidR="00B0508E">
              <w:rPr>
                <w:b/>
              </w:rPr>
              <w:t xml:space="preserve">? </w:t>
            </w:r>
          </w:p>
        </w:tc>
        <w:tc>
          <w:tcPr>
            <w:tcW w:w="8005" w:type="dxa"/>
          </w:tcPr>
          <w:p w:rsidR="002F4484" w:rsidRPr="003C2C58" w:rsidRDefault="002F4484" w:rsidP="002F4484">
            <w:pPr>
              <w:rPr>
                <w:sz w:val="24"/>
              </w:rPr>
            </w:pPr>
          </w:p>
        </w:tc>
      </w:tr>
      <w:tr w:rsidR="00D954B6" w:rsidTr="003C2C58">
        <w:tc>
          <w:tcPr>
            <w:tcW w:w="6385" w:type="dxa"/>
            <w:shd w:val="clear" w:color="auto" w:fill="E7E6E6" w:themeFill="background2"/>
          </w:tcPr>
          <w:p w:rsidR="00D954B6" w:rsidRPr="00D954B6" w:rsidRDefault="00D954B6" w:rsidP="00B0508E">
            <w:pPr>
              <w:rPr>
                <w:i/>
              </w:rPr>
            </w:pPr>
            <w:r>
              <w:rPr>
                <w:b/>
              </w:rPr>
              <w:t>Share additional relevant student success data not includ</w:t>
            </w:r>
            <w:r w:rsidR="00B0508E">
              <w:rPr>
                <w:b/>
              </w:rPr>
              <w:t xml:space="preserve">ed in the Program Data Profile. </w:t>
            </w:r>
            <w:r>
              <w:rPr>
                <w:i/>
              </w:rPr>
              <w:t>If faculty need access to or assistance in navigating Blue Reports to view additional data or disaggregate data by student demographic, contact Kelley Woods-Johnson or Institutional Research (</w:t>
            </w:r>
            <w:hyperlink r:id="rId11" w:history="1">
              <w:r w:rsidR="004773A9" w:rsidRPr="004773A9">
                <w:rPr>
                  <w:rStyle w:val="Hyperlink"/>
                  <w:i/>
                </w:rPr>
                <w:t>https://irt2.indstate.edu/ir/</w:t>
              </w:r>
            </w:hyperlink>
            <w:r>
              <w:rPr>
                <w:i/>
              </w:rPr>
              <w:t xml:space="preserve">). </w:t>
            </w:r>
          </w:p>
        </w:tc>
        <w:tc>
          <w:tcPr>
            <w:tcW w:w="8005" w:type="dxa"/>
          </w:tcPr>
          <w:p w:rsidR="00D954B6" w:rsidRPr="003C2C58" w:rsidRDefault="00D954B6" w:rsidP="002F4484">
            <w:pPr>
              <w:rPr>
                <w:sz w:val="24"/>
              </w:rPr>
            </w:pPr>
          </w:p>
        </w:tc>
      </w:tr>
    </w:tbl>
    <w:p w:rsidR="00662D41" w:rsidRPr="00C77B0E" w:rsidRDefault="00662D41" w:rsidP="00662D41">
      <w:pPr>
        <w:spacing w:after="0"/>
        <w:rPr>
          <w:sz w:val="24"/>
        </w:rPr>
      </w:pPr>
    </w:p>
    <w:p w:rsidR="00662D41" w:rsidRPr="0048281D" w:rsidRDefault="002F4484" w:rsidP="0048281D">
      <w:pPr>
        <w:pStyle w:val="ListParagraph"/>
        <w:numPr>
          <w:ilvl w:val="0"/>
          <w:numId w:val="2"/>
        </w:numPr>
        <w:spacing w:after="0"/>
        <w:rPr>
          <w:b/>
          <w:color w:val="0070C0"/>
          <w:sz w:val="24"/>
        </w:rPr>
      </w:pPr>
      <w:r w:rsidRPr="0048281D">
        <w:rPr>
          <w:b/>
          <w:color w:val="0070C0"/>
          <w:sz w:val="24"/>
        </w:rPr>
        <w:t xml:space="preserve">Continuous Quality Improvement </w:t>
      </w:r>
    </w:p>
    <w:tbl>
      <w:tblPr>
        <w:tblStyle w:val="TableGrid"/>
        <w:tblW w:w="0" w:type="auto"/>
        <w:tblLook w:val="04A0" w:firstRow="1" w:lastRow="0" w:firstColumn="1" w:lastColumn="0" w:noHBand="0" w:noVBand="1"/>
      </w:tblPr>
      <w:tblGrid>
        <w:gridCol w:w="6385"/>
        <w:gridCol w:w="8005"/>
      </w:tblGrid>
      <w:tr w:rsidR="00B0508E" w:rsidTr="003C2C58">
        <w:tc>
          <w:tcPr>
            <w:tcW w:w="6385" w:type="dxa"/>
            <w:shd w:val="clear" w:color="auto" w:fill="E7E6E6" w:themeFill="background2"/>
          </w:tcPr>
          <w:p w:rsidR="00B0508E" w:rsidRPr="004773A9" w:rsidRDefault="00B0508E" w:rsidP="00B156C3">
            <w:pPr>
              <w:rPr>
                <w:b/>
              </w:rPr>
            </w:pPr>
            <w:r>
              <w:rPr>
                <w:b/>
              </w:rPr>
              <w:lastRenderedPageBreak/>
              <w:t>Review the action plan from the previous year’s report</w:t>
            </w:r>
            <w:r w:rsidR="00B156C3">
              <w:rPr>
                <w:b/>
              </w:rPr>
              <w:t xml:space="preserve"> and/or the last assessment of these learning outcomes</w:t>
            </w:r>
            <w:r>
              <w:rPr>
                <w:b/>
              </w:rPr>
              <w:t>. Provide a brief update of whether the</w:t>
            </w:r>
            <w:r w:rsidR="00B156C3">
              <w:rPr>
                <w:b/>
              </w:rPr>
              <w:t>se activities</w:t>
            </w:r>
            <w:r>
              <w:rPr>
                <w:b/>
              </w:rPr>
              <w:t xml:space="preserve"> appear to have influenced student learning and/or success outcomes</w:t>
            </w:r>
            <w:r w:rsidR="00B156C3">
              <w:rPr>
                <w:b/>
              </w:rPr>
              <w:t>.</w:t>
            </w:r>
            <w:r>
              <w:rPr>
                <w:b/>
              </w:rPr>
              <w:t xml:space="preserve"> </w:t>
            </w:r>
          </w:p>
        </w:tc>
        <w:tc>
          <w:tcPr>
            <w:tcW w:w="8005" w:type="dxa"/>
          </w:tcPr>
          <w:p w:rsidR="00B0508E" w:rsidRPr="003C2C58" w:rsidRDefault="00B0508E" w:rsidP="00662D41"/>
        </w:tc>
      </w:tr>
      <w:tr w:rsidR="00662D41" w:rsidTr="003C2C58">
        <w:tc>
          <w:tcPr>
            <w:tcW w:w="6385" w:type="dxa"/>
            <w:shd w:val="clear" w:color="auto" w:fill="E7E6E6" w:themeFill="background2"/>
          </w:tcPr>
          <w:p w:rsidR="00662D41" w:rsidRPr="004773A9" w:rsidRDefault="00B0508E" w:rsidP="00B0508E">
            <w:pPr>
              <w:rPr>
                <w:b/>
              </w:rPr>
            </w:pPr>
            <w:r>
              <w:rPr>
                <w:b/>
              </w:rPr>
              <w:t xml:space="preserve">Based on the findings, what are the top priorities to address and what </w:t>
            </w:r>
            <w:r w:rsidR="000547EA" w:rsidRPr="004773A9">
              <w:rPr>
                <w:b/>
              </w:rPr>
              <w:t xml:space="preserve">actions are planned </w:t>
            </w:r>
            <w:r w:rsidR="00662D41" w:rsidRPr="004773A9">
              <w:rPr>
                <w:b/>
              </w:rPr>
              <w:t xml:space="preserve">to maintain strong performance and/or improve student learning and success? </w:t>
            </w:r>
          </w:p>
        </w:tc>
        <w:tc>
          <w:tcPr>
            <w:tcW w:w="8005" w:type="dxa"/>
          </w:tcPr>
          <w:p w:rsidR="00662D41" w:rsidRPr="003C2C58" w:rsidRDefault="00662D41" w:rsidP="00662D41"/>
        </w:tc>
      </w:tr>
      <w:tr w:rsidR="00B0508E" w:rsidTr="003C2C58">
        <w:tc>
          <w:tcPr>
            <w:tcW w:w="6385" w:type="dxa"/>
            <w:shd w:val="clear" w:color="auto" w:fill="E7E6E6" w:themeFill="background2"/>
          </w:tcPr>
          <w:p w:rsidR="00B0508E" w:rsidRPr="00B0508E" w:rsidRDefault="00B0508E" w:rsidP="00662D41">
            <w:pPr>
              <w:rPr>
                <w:i/>
              </w:rPr>
            </w:pPr>
            <w:r>
              <w:rPr>
                <w:b/>
              </w:rPr>
              <w:t xml:space="preserve">What support/resources/partnerships (if any) will be explored to achieve these? </w:t>
            </w:r>
            <w:r>
              <w:rPr>
                <w:i/>
              </w:rPr>
              <w:t xml:space="preserve">Note – this is a planning/reporting tool, not a request for resources. Any potential support identified here should be followed up with consultation with appropriate university officials (e.g., Deans, ISU Foundation, Enrollment Management, etc.). </w:t>
            </w:r>
          </w:p>
        </w:tc>
        <w:tc>
          <w:tcPr>
            <w:tcW w:w="8005" w:type="dxa"/>
          </w:tcPr>
          <w:p w:rsidR="00B0508E" w:rsidRPr="003C2C58" w:rsidRDefault="00B0508E" w:rsidP="00662D41"/>
        </w:tc>
      </w:tr>
      <w:tr w:rsidR="00662D41" w:rsidTr="003C2C58">
        <w:tc>
          <w:tcPr>
            <w:tcW w:w="6385" w:type="dxa"/>
            <w:shd w:val="clear" w:color="auto" w:fill="E7E6E6" w:themeFill="background2"/>
          </w:tcPr>
          <w:p w:rsidR="00662D41" w:rsidRPr="004773A9" w:rsidRDefault="00662D41" w:rsidP="00662D41">
            <w:pPr>
              <w:rPr>
                <w:b/>
              </w:rPr>
            </w:pPr>
            <w:r w:rsidRPr="004773A9">
              <w:rPr>
                <w:b/>
              </w:rPr>
              <w:t xml:space="preserve">What learning outcomes will your assessment plan focus on next year, and what changes, if any, are planned to improve assessment strategies and yield stronger data? </w:t>
            </w:r>
          </w:p>
        </w:tc>
        <w:tc>
          <w:tcPr>
            <w:tcW w:w="8005" w:type="dxa"/>
          </w:tcPr>
          <w:p w:rsidR="00662D41" w:rsidRPr="003C2C58" w:rsidRDefault="00662D41" w:rsidP="00662D41"/>
        </w:tc>
      </w:tr>
      <w:tr w:rsidR="00662D41" w:rsidTr="00C10C9E">
        <w:trPr>
          <w:trHeight w:val="71"/>
        </w:trPr>
        <w:tc>
          <w:tcPr>
            <w:tcW w:w="6385" w:type="dxa"/>
            <w:shd w:val="clear" w:color="auto" w:fill="E7E6E6" w:themeFill="background2"/>
          </w:tcPr>
          <w:p w:rsidR="00662D41" w:rsidRPr="004773A9" w:rsidRDefault="001C163C" w:rsidP="001C163C">
            <w:pPr>
              <w:rPr>
                <w:b/>
              </w:rPr>
            </w:pPr>
            <w:r w:rsidRPr="004773A9">
              <w:rPr>
                <w:b/>
              </w:rPr>
              <w:t>Desc</w:t>
            </w:r>
            <w:r w:rsidR="00B0508E">
              <w:rPr>
                <w:b/>
              </w:rPr>
              <w:t>ribe faculty involvement in assessment and data analysis,</w:t>
            </w:r>
            <w:r w:rsidRPr="004773A9">
              <w:rPr>
                <w:b/>
              </w:rPr>
              <w:t xml:space="preserve"> and how</w:t>
            </w:r>
            <w:r w:rsidR="003C2C58" w:rsidRPr="004773A9">
              <w:rPr>
                <w:b/>
              </w:rPr>
              <w:t xml:space="preserve"> w</w:t>
            </w:r>
            <w:r w:rsidRPr="004773A9">
              <w:rPr>
                <w:b/>
              </w:rPr>
              <w:t>ill findings be shared with facu</w:t>
            </w:r>
            <w:r w:rsidR="004773A9">
              <w:rPr>
                <w:b/>
              </w:rPr>
              <w:t>lty and applicable stakeholders</w:t>
            </w:r>
            <w:r w:rsidRPr="004773A9">
              <w:rPr>
                <w:b/>
              </w:rPr>
              <w:t xml:space="preserve">? </w:t>
            </w:r>
            <w:r w:rsidR="003C2C58" w:rsidRPr="004773A9">
              <w:rPr>
                <w:b/>
              </w:rPr>
              <w:t xml:space="preserve"> </w:t>
            </w:r>
          </w:p>
        </w:tc>
        <w:tc>
          <w:tcPr>
            <w:tcW w:w="8005" w:type="dxa"/>
          </w:tcPr>
          <w:p w:rsidR="00662D41" w:rsidRPr="003C2C58" w:rsidRDefault="00662D41" w:rsidP="00662D41"/>
        </w:tc>
      </w:tr>
    </w:tbl>
    <w:p w:rsidR="00662D41" w:rsidRDefault="00662D41" w:rsidP="00662D41">
      <w:pPr>
        <w:spacing w:after="0"/>
        <w:rPr>
          <w:b/>
          <w:sz w:val="24"/>
        </w:rPr>
      </w:pPr>
    </w:p>
    <w:p w:rsidR="002B48F8" w:rsidRPr="00662D41" w:rsidRDefault="002B48F8">
      <w:pPr>
        <w:rPr>
          <w:i/>
          <w:sz w:val="24"/>
        </w:rPr>
      </w:pPr>
      <w:r w:rsidRPr="002F4484">
        <w:rPr>
          <w:b/>
          <w:i/>
          <w:sz w:val="24"/>
        </w:rPr>
        <w:br w:type="page"/>
      </w:r>
    </w:p>
    <w:p w:rsidR="00A2341A" w:rsidRDefault="000A3480" w:rsidP="00A2341A">
      <w:pPr>
        <w:spacing w:after="0"/>
        <w:rPr>
          <w:b/>
          <w:sz w:val="24"/>
        </w:rPr>
      </w:pPr>
      <w:r>
        <w:rPr>
          <w:b/>
          <w:color w:val="0070C0"/>
          <w:sz w:val="24"/>
        </w:rPr>
        <w:lastRenderedPageBreak/>
        <w:t>AY 22-23</w:t>
      </w:r>
      <w:r w:rsidR="00A2341A" w:rsidRPr="00C77B0E">
        <w:rPr>
          <w:b/>
          <w:color w:val="0070C0"/>
          <w:sz w:val="24"/>
        </w:rPr>
        <w:t xml:space="preserve"> STUDENT OUTCOMES ASSESSMENT &amp; SUCCESS REPORT</w:t>
      </w:r>
      <w:r w:rsidR="00A2341A" w:rsidRPr="00C77B0E">
        <w:rPr>
          <w:b/>
          <w:color w:val="0070C0"/>
          <w:sz w:val="24"/>
        </w:rPr>
        <w:tab/>
      </w:r>
      <w:r w:rsidR="00A2341A" w:rsidRPr="00C77B0E">
        <w:rPr>
          <w:b/>
          <w:color w:val="0070C0"/>
          <w:sz w:val="24"/>
        </w:rPr>
        <w:tab/>
      </w:r>
      <w:r w:rsidR="00A2341A" w:rsidRPr="00C77B0E">
        <w:rPr>
          <w:b/>
          <w:color w:val="0070C0"/>
          <w:sz w:val="24"/>
        </w:rPr>
        <w:tab/>
      </w:r>
      <w:r w:rsidR="00A2341A" w:rsidRPr="00C77B0E">
        <w:rPr>
          <w:b/>
          <w:color w:val="0070C0"/>
          <w:sz w:val="24"/>
        </w:rPr>
        <w:tab/>
      </w:r>
      <w:r w:rsidR="00A2341A">
        <w:rPr>
          <w:b/>
          <w:color w:val="0070C0"/>
          <w:sz w:val="24"/>
        </w:rPr>
        <w:tab/>
      </w:r>
      <w:r w:rsidR="00A2341A">
        <w:rPr>
          <w:b/>
          <w:color w:val="0070C0"/>
          <w:sz w:val="24"/>
        </w:rPr>
        <w:tab/>
      </w:r>
      <w:r w:rsidR="00A2341A">
        <w:rPr>
          <w:b/>
          <w:color w:val="0070C0"/>
          <w:sz w:val="24"/>
        </w:rPr>
        <w:tab/>
        <w:t>OPTION B: NARRATIVE</w:t>
      </w:r>
      <w:r w:rsidR="00A2341A" w:rsidRPr="00C77B0E">
        <w:rPr>
          <w:b/>
          <w:color w:val="0070C0"/>
          <w:sz w:val="24"/>
        </w:rPr>
        <w:t xml:space="preserve"> FORMAT</w:t>
      </w:r>
    </w:p>
    <w:p w:rsidR="00A2341A" w:rsidRDefault="00A2341A" w:rsidP="00FD1954">
      <w:pPr>
        <w:spacing w:after="0"/>
        <w:rPr>
          <w:b/>
          <w:sz w:val="24"/>
        </w:rPr>
      </w:pPr>
    </w:p>
    <w:p w:rsidR="00E53BA5" w:rsidRDefault="002B48F8" w:rsidP="00A2341A">
      <w:pPr>
        <w:spacing w:after="0"/>
        <w:rPr>
          <w:b/>
          <w:sz w:val="24"/>
        </w:rPr>
      </w:pPr>
      <w:r>
        <w:rPr>
          <w:b/>
          <w:sz w:val="24"/>
        </w:rPr>
        <w:t xml:space="preserve"> </w:t>
      </w:r>
    </w:p>
    <w:tbl>
      <w:tblPr>
        <w:tblStyle w:val="TableGrid"/>
        <w:tblW w:w="0" w:type="auto"/>
        <w:tblLook w:val="04A0" w:firstRow="1" w:lastRow="0" w:firstColumn="1" w:lastColumn="0" w:noHBand="0" w:noVBand="1"/>
      </w:tblPr>
      <w:tblGrid>
        <w:gridCol w:w="2065"/>
        <w:gridCol w:w="8640"/>
        <w:gridCol w:w="270"/>
        <w:gridCol w:w="900"/>
        <w:gridCol w:w="2515"/>
      </w:tblGrid>
      <w:tr w:rsidR="00E53BA5" w:rsidRPr="003C2C58" w:rsidTr="002036E8">
        <w:tc>
          <w:tcPr>
            <w:tcW w:w="2065" w:type="dxa"/>
            <w:shd w:val="clear" w:color="auto" w:fill="E7E6E6" w:themeFill="background2"/>
          </w:tcPr>
          <w:p w:rsidR="00E53BA5" w:rsidRPr="00DA7C6C" w:rsidRDefault="00E53BA5" w:rsidP="002036E8">
            <w:pPr>
              <w:rPr>
                <w:b/>
              </w:rPr>
            </w:pPr>
            <w:r w:rsidRPr="00DA7C6C">
              <w:rPr>
                <w:b/>
              </w:rPr>
              <w:t>Academic Program:</w:t>
            </w:r>
          </w:p>
        </w:tc>
        <w:tc>
          <w:tcPr>
            <w:tcW w:w="8910" w:type="dxa"/>
            <w:gridSpan w:val="2"/>
          </w:tcPr>
          <w:p w:rsidR="00E53BA5" w:rsidRPr="003C2C58" w:rsidRDefault="00E53BA5" w:rsidP="002036E8"/>
        </w:tc>
        <w:tc>
          <w:tcPr>
            <w:tcW w:w="900" w:type="dxa"/>
            <w:shd w:val="clear" w:color="auto" w:fill="E7E6E6" w:themeFill="background2"/>
          </w:tcPr>
          <w:p w:rsidR="00E53BA5" w:rsidRPr="00DA7C6C" w:rsidRDefault="00E53BA5" w:rsidP="002036E8">
            <w:pPr>
              <w:rPr>
                <w:b/>
              </w:rPr>
            </w:pPr>
            <w:r w:rsidRPr="00DA7C6C">
              <w:rPr>
                <w:b/>
              </w:rPr>
              <w:t xml:space="preserve">Date: </w:t>
            </w:r>
          </w:p>
        </w:tc>
        <w:tc>
          <w:tcPr>
            <w:tcW w:w="2515" w:type="dxa"/>
          </w:tcPr>
          <w:p w:rsidR="00E53BA5" w:rsidRPr="003C2C58" w:rsidRDefault="00E53BA5" w:rsidP="002036E8"/>
        </w:tc>
      </w:tr>
      <w:tr w:rsidR="00E53BA5" w:rsidRPr="003C2C58" w:rsidTr="002036E8">
        <w:tc>
          <w:tcPr>
            <w:tcW w:w="2065" w:type="dxa"/>
            <w:shd w:val="clear" w:color="auto" w:fill="E7E6E6" w:themeFill="background2"/>
          </w:tcPr>
          <w:p w:rsidR="00E53BA5" w:rsidRPr="00DA7C6C" w:rsidRDefault="00E53BA5" w:rsidP="002036E8">
            <w:pPr>
              <w:rPr>
                <w:b/>
              </w:rPr>
            </w:pPr>
            <w:r w:rsidRPr="00DA7C6C">
              <w:rPr>
                <w:b/>
              </w:rPr>
              <w:t>Author(s):</w:t>
            </w:r>
          </w:p>
        </w:tc>
        <w:tc>
          <w:tcPr>
            <w:tcW w:w="12325" w:type="dxa"/>
            <w:gridSpan w:val="4"/>
          </w:tcPr>
          <w:p w:rsidR="00E53BA5" w:rsidRPr="003C2C58" w:rsidRDefault="00E53BA5" w:rsidP="002036E8"/>
        </w:tc>
      </w:tr>
      <w:tr w:rsidR="00E53BA5" w:rsidRPr="00C10C9E" w:rsidTr="002036E8">
        <w:tc>
          <w:tcPr>
            <w:tcW w:w="10705" w:type="dxa"/>
            <w:gridSpan w:val="2"/>
            <w:shd w:val="clear" w:color="auto" w:fill="E7E6E6" w:themeFill="background2"/>
          </w:tcPr>
          <w:p w:rsidR="00E53BA5" w:rsidRPr="00750AEC" w:rsidRDefault="00E53BA5" w:rsidP="002036E8">
            <w:pPr>
              <w:rPr>
                <w:b/>
              </w:rPr>
            </w:pPr>
            <w:r w:rsidRPr="00750AEC">
              <w:rPr>
                <w:b/>
              </w:rPr>
              <w:t xml:space="preserve">Verify that each of the following documents is correct and current on the </w:t>
            </w:r>
            <w:hyperlink r:id="rId12" w:history="1">
              <w:r w:rsidRPr="00750AEC">
                <w:rPr>
                  <w:rStyle w:val="Hyperlink"/>
                  <w:b/>
                </w:rPr>
                <w:t>ISU Assessment Results Webpage</w:t>
              </w:r>
            </w:hyperlink>
            <w:r w:rsidRPr="00750AEC">
              <w:rPr>
                <w:b/>
              </w:rPr>
              <w:t xml:space="preserve"> by marking with an “X.” </w:t>
            </w:r>
            <w:r w:rsidRPr="00750AEC">
              <w:t>Please submit any updated documents and/or corrections as soon as possible to Kelley Woods-Johnson,</w:t>
            </w:r>
            <w:r>
              <w:t xml:space="preserve"> Director of Assessment &amp; Program Effectiveness, </w:t>
            </w:r>
            <w:r w:rsidRPr="00750AEC">
              <w:t xml:space="preserve">at </w:t>
            </w:r>
            <w:hyperlink r:id="rId13" w:history="1">
              <w:r w:rsidRPr="00750AEC">
                <w:rPr>
                  <w:rStyle w:val="Hyperlink"/>
                </w:rPr>
                <w:t>kelley.woods-johnson@indstate.edu</w:t>
              </w:r>
            </w:hyperlink>
            <w:r w:rsidRPr="00750AEC">
              <w:t xml:space="preserve">. </w:t>
            </w:r>
          </w:p>
        </w:tc>
        <w:tc>
          <w:tcPr>
            <w:tcW w:w="3685" w:type="dxa"/>
            <w:gridSpan w:val="3"/>
          </w:tcPr>
          <w:p w:rsidR="00E53BA5" w:rsidRPr="00C10C9E" w:rsidRDefault="00E53BA5" w:rsidP="002036E8">
            <w:r w:rsidRPr="00C10C9E">
              <w:t>___ Learning Outcomes</w:t>
            </w:r>
          </w:p>
          <w:p w:rsidR="00E53BA5" w:rsidRPr="00C10C9E" w:rsidRDefault="00E53BA5" w:rsidP="002036E8">
            <w:r w:rsidRPr="00C10C9E">
              <w:t xml:space="preserve">___ Curriculum Map </w:t>
            </w:r>
          </w:p>
          <w:p w:rsidR="00E53BA5" w:rsidRPr="00C10C9E" w:rsidRDefault="00E53BA5" w:rsidP="002036E8">
            <w:r w:rsidRPr="00C10C9E">
              <w:t xml:space="preserve">___ Assessment Plan </w:t>
            </w:r>
          </w:p>
          <w:p w:rsidR="00E53BA5" w:rsidRPr="00C10C9E" w:rsidRDefault="00E53BA5" w:rsidP="002036E8">
            <w:pPr>
              <w:rPr>
                <w:sz w:val="6"/>
              </w:rPr>
            </w:pPr>
          </w:p>
        </w:tc>
      </w:tr>
      <w:tr w:rsidR="00E53BA5" w:rsidRPr="00C10C9E" w:rsidTr="002036E8">
        <w:tc>
          <w:tcPr>
            <w:tcW w:w="10705" w:type="dxa"/>
            <w:gridSpan w:val="2"/>
            <w:shd w:val="clear" w:color="auto" w:fill="E7E6E6" w:themeFill="background2"/>
          </w:tcPr>
          <w:p w:rsidR="00E53BA5" w:rsidRPr="00750AEC" w:rsidRDefault="00E53BA5" w:rsidP="002036E8">
            <w:pPr>
              <w:rPr>
                <w:b/>
              </w:rPr>
            </w:pPr>
            <w:r>
              <w:rPr>
                <w:b/>
              </w:rPr>
              <w:t xml:space="preserve">How is this program offered? </w:t>
            </w:r>
            <w:r w:rsidRPr="00750AEC">
              <w:rPr>
                <w:b/>
              </w:rPr>
              <w:t xml:space="preserve">If </w:t>
            </w:r>
            <w:r>
              <w:rPr>
                <w:b/>
              </w:rPr>
              <w:t xml:space="preserve">“Both,” data should be disaggregated by campus and distance students. </w:t>
            </w:r>
          </w:p>
        </w:tc>
        <w:tc>
          <w:tcPr>
            <w:tcW w:w="3685" w:type="dxa"/>
            <w:gridSpan w:val="3"/>
          </w:tcPr>
          <w:p w:rsidR="00E53BA5" w:rsidRPr="00C10C9E" w:rsidRDefault="00E53BA5" w:rsidP="002036E8">
            <w:r w:rsidRPr="00C10C9E">
              <w:t>_</w:t>
            </w:r>
            <w:r>
              <w:t>__ Campus</w:t>
            </w:r>
            <w:r w:rsidRPr="00C10C9E">
              <w:t xml:space="preserve">   </w:t>
            </w:r>
            <w:r>
              <w:t>___ Distance  ___ Both</w:t>
            </w:r>
          </w:p>
          <w:p w:rsidR="00E53BA5" w:rsidRPr="00C10C9E" w:rsidRDefault="00E53BA5" w:rsidP="002036E8">
            <w:pPr>
              <w:rPr>
                <w:sz w:val="6"/>
              </w:rPr>
            </w:pPr>
          </w:p>
        </w:tc>
      </w:tr>
    </w:tbl>
    <w:p w:rsidR="00E278FA" w:rsidRDefault="00E278FA" w:rsidP="00A2341A">
      <w:pPr>
        <w:spacing w:after="0"/>
        <w:rPr>
          <w:b/>
          <w:sz w:val="24"/>
        </w:rPr>
      </w:pPr>
    </w:p>
    <w:p w:rsidR="00A2341A" w:rsidRDefault="00A2341A" w:rsidP="00A2341A">
      <w:pPr>
        <w:spacing w:after="0"/>
      </w:pPr>
      <w:r>
        <w:rPr>
          <w:b/>
        </w:rPr>
        <w:t xml:space="preserve">Instructions: </w:t>
      </w:r>
      <w:r>
        <w:t>The narrative format of this report will contain the same information as the table format, but the structure of the narrative is flexible. An outline has been provided for guidance on what to include, but the structure of the narrat</w:t>
      </w:r>
      <w:r w:rsidR="00822AA0">
        <w:t>ive need not follow the outline. When applicable</w:t>
      </w:r>
      <w:r>
        <w:t>, detailed notes from program faculty meetings where assessment was discussed may be copied into this report as the narrative. Please c</w:t>
      </w:r>
      <w:r w:rsidR="00822AA0">
        <w:t>ite</w:t>
      </w:r>
      <w:r>
        <w:t xml:space="preserve"> to indicate when this is the case. </w:t>
      </w:r>
    </w:p>
    <w:p w:rsidR="00653FDD" w:rsidRDefault="00653FDD" w:rsidP="00A2341A">
      <w:pPr>
        <w:spacing w:after="0"/>
      </w:pPr>
    </w:p>
    <w:p w:rsidR="00653FDD" w:rsidRDefault="00653FDD" w:rsidP="00A2341A">
      <w:pPr>
        <w:spacing w:after="0"/>
      </w:pPr>
      <w:r w:rsidRPr="003C2C58">
        <w:rPr>
          <w:b/>
          <w:color w:val="0070C0"/>
          <w:sz w:val="24"/>
        </w:rPr>
        <w:t>Student Learning Outcomes Assessment</w:t>
      </w:r>
    </w:p>
    <w:p w:rsidR="00653FDD" w:rsidRDefault="00653FDD" w:rsidP="00A2341A">
      <w:pPr>
        <w:spacing w:after="0"/>
      </w:pPr>
      <w:r>
        <w:t>Program Student Learning Outcomes Assessed this Year</w:t>
      </w:r>
    </w:p>
    <w:p w:rsidR="00822AA0" w:rsidRDefault="00822AA0" w:rsidP="00A2341A">
      <w:pPr>
        <w:spacing w:after="0"/>
      </w:pPr>
    </w:p>
    <w:p w:rsidR="00653FDD" w:rsidRDefault="00653FDD" w:rsidP="00A2341A">
      <w:pPr>
        <w:spacing w:after="0"/>
      </w:pPr>
      <w:r>
        <w:t xml:space="preserve">For Each Student Learning Outcome Assessed: </w:t>
      </w:r>
    </w:p>
    <w:p w:rsidR="00653FDD" w:rsidRDefault="00653FDD" w:rsidP="00E53BA5">
      <w:pPr>
        <w:pStyle w:val="ListParagraph"/>
        <w:numPr>
          <w:ilvl w:val="0"/>
          <w:numId w:val="5"/>
        </w:numPr>
        <w:spacing w:after="0"/>
      </w:pPr>
      <w:r>
        <w:t xml:space="preserve">Assessment Strategies for Each Student Learning Outcome (courses where learning took place, assignments used, tools for evaluation – i.e. rubrics, etc.) </w:t>
      </w:r>
    </w:p>
    <w:p w:rsidR="00653FDD" w:rsidRDefault="00653FDD" w:rsidP="00E53BA5">
      <w:pPr>
        <w:pStyle w:val="ListParagraph"/>
        <w:numPr>
          <w:ilvl w:val="0"/>
          <w:numId w:val="5"/>
        </w:numPr>
        <w:spacing w:after="0"/>
      </w:pPr>
      <w:r>
        <w:t xml:space="preserve">Established Benchmark for Proficiency </w:t>
      </w:r>
    </w:p>
    <w:p w:rsidR="00653FDD" w:rsidRDefault="00653FDD" w:rsidP="00E53BA5">
      <w:pPr>
        <w:pStyle w:val="ListParagraph"/>
        <w:numPr>
          <w:ilvl w:val="0"/>
          <w:numId w:val="5"/>
        </w:numPr>
        <w:spacing w:after="0"/>
      </w:pPr>
      <w:r>
        <w:t>Actual Student Performance Relative to Established Benchmark</w:t>
      </w:r>
      <w:r w:rsidR="00822AA0">
        <w:t xml:space="preserve"> (</w:t>
      </w:r>
      <w:r w:rsidR="00822AA0" w:rsidRPr="00E53BA5">
        <w:rPr>
          <w:u w:val="single"/>
        </w:rPr>
        <w:t>provide specific data rather than general observations</w:t>
      </w:r>
      <w:r w:rsidR="00822AA0">
        <w:t>)</w:t>
      </w:r>
    </w:p>
    <w:p w:rsidR="00822AA0" w:rsidRDefault="00653FDD" w:rsidP="00E53BA5">
      <w:pPr>
        <w:pStyle w:val="ListParagraph"/>
        <w:numPr>
          <w:ilvl w:val="0"/>
          <w:numId w:val="5"/>
        </w:numPr>
        <w:spacing w:after="0"/>
      </w:pPr>
      <w:r>
        <w:t xml:space="preserve">Comparison to any Prior Data, if Available </w:t>
      </w:r>
    </w:p>
    <w:p w:rsidR="00B156C3" w:rsidRDefault="00B156C3" w:rsidP="00B156C3">
      <w:pPr>
        <w:spacing w:after="0"/>
      </w:pPr>
    </w:p>
    <w:p w:rsidR="00B156C3" w:rsidRPr="00B156C3" w:rsidRDefault="00B156C3" w:rsidP="00B156C3">
      <w:pPr>
        <w:spacing w:after="0"/>
      </w:pPr>
      <w:r w:rsidRPr="00B156C3">
        <w:t>Describe primary insights gained from analysis of findings of student learning outcomes assessment. What is going well, and what needs to be monitored or addressed?</w:t>
      </w:r>
    </w:p>
    <w:p w:rsidR="00822AA0" w:rsidRDefault="00822AA0" w:rsidP="00822AA0">
      <w:pPr>
        <w:spacing w:after="0"/>
      </w:pPr>
    </w:p>
    <w:p w:rsidR="00822AA0" w:rsidRPr="00822AA0" w:rsidRDefault="00822AA0" w:rsidP="00822AA0">
      <w:pPr>
        <w:spacing w:after="0"/>
      </w:pPr>
      <w:r w:rsidRPr="003C2C58">
        <w:rPr>
          <w:b/>
          <w:color w:val="0070C0"/>
          <w:sz w:val="24"/>
        </w:rPr>
        <w:t xml:space="preserve">Student Success Activities </w:t>
      </w:r>
    </w:p>
    <w:p w:rsidR="007E67DC" w:rsidRDefault="00E53BA5" w:rsidP="007E67DC">
      <w:pPr>
        <w:pStyle w:val="ListParagraph"/>
        <w:ind w:left="0"/>
        <w:rPr>
          <w:i/>
          <w:szCs w:val="20"/>
        </w:rPr>
      </w:pPr>
      <w:r w:rsidRPr="00B156C3">
        <w:rPr>
          <w:i/>
          <w:szCs w:val="20"/>
        </w:rPr>
        <w:t xml:space="preserve">Department Chairs will receive and disseminate Program Data Profiles at the beginning of each fall semester. The data in these profiles summarizes trends in institutional markers of student success such recruitment, enrollment, retention, persistence, and graduation. Department and program trends in staffing and finance are also shared for review of resources and program sustainability. Data should be reviewed and discussed by program faculty, and insights should be documented in this section. </w:t>
      </w:r>
    </w:p>
    <w:p w:rsidR="007E67DC" w:rsidRDefault="007E67DC" w:rsidP="007E67DC">
      <w:pPr>
        <w:pStyle w:val="ListParagraph"/>
        <w:ind w:left="0"/>
        <w:rPr>
          <w:i/>
          <w:szCs w:val="20"/>
        </w:rPr>
      </w:pPr>
    </w:p>
    <w:p w:rsidR="007E67DC" w:rsidRDefault="00B156C3" w:rsidP="007E67DC">
      <w:pPr>
        <w:pStyle w:val="ListParagraph"/>
        <w:ind w:left="0"/>
        <w:rPr>
          <w:i/>
          <w:szCs w:val="20"/>
        </w:rPr>
      </w:pPr>
      <w:r w:rsidRPr="00B156C3">
        <w:t>What student success indicators are strong or trending positively?</w:t>
      </w:r>
    </w:p>
    <w:p w:rsidR="007E67DC" w:rsidRDefault="007E67DC" w:rsidP="007E67DC">
      <w:pPr>
        <w:pStyle w:val="ListParagraph"/>
        <w:ind w:left="0"/>
        <w:rPr>
          <w:i/>
          <w:szCs w:val="20"/>
        </w:rPr>
      </w:pPr>
    </w:p>
    <w:p w:rsidR="007E67DC" w:rsidRDefault="00B156C3" w:rsidP="007E67DC">
      <w:pPr>
        <w:pStyle w:val="ListParagraph"/>
        <w:ind w:left="0"/>
        <w:rPr>
          <w:i/>
          <w:szCs w:val="20"/>
        </w:rPr>
      </w:pPr>
      <w:r w:rsidRPr="00B156C3">
        <w:t>What student success indicators are concerning?</w:t>
      </w:r>
    </w:p>
    <w:p w:rsidR="00B156C3" w:rsidRPr="007E67DC" w:rsidRDefault="00B156C3" w:rsidP="007E67DC">
      <w:pPr>
        <w:pStyle w:val="ListParagraph"/>
        <w:ind w:left="0"/>
        <w:rPr>
          <w:i/>
          <w:szCs w:val="20"/>
        </w:rPr>
      </w:pPr>
      <w:r w:rsidRPr="00B156C3">
        <w:lastRenderedPageBreak/>
        <w:t>Share additional relevant student success data not included in the Program Data Profile.</w:t>
      </w:r>
      <w:r>
        <w:rPr>
          <w:b/>
        </w:rPr>
        <w:t xml:space="preserve"> </w:t>
      </w:r>
      <w:r>
        <w:rPr>
          <w:i/>
        </w:rPr>
        <w:t>If faculty need access to or assistance in navigating Blue Reports to view additional data or disaggregate data by student demographic, contact Kelley Woods-Johnson or Institutional Research (</w:t>
      </w:r>
      <w:hyperlink r:id="rId14" w:history="1">
        <w:r w:rsidRPr="004773A9">
          <w:rPr>
            <w:rStyle w:val="Hyperlink"/>
            <w:i/>
          </w:rPr>
          <w:t>https://irt2.indstate.edu/ir/</w:t>
        </w:r>
      </w:hyperlink>
      <w:r>
        <w:rPr>
          <w:i/>
        </w:rPr>
        <w:t>).</w:t>
      </w:r>
    </w:p>
    <w:p w:rsidR="00E53BA5" w:rsidRPr="00E53BA5" w:rsidRDefault="00E53BA5" w:rsidP="00822AA0">
      <w:pPr>
        <w:spacing w:after="0"/>
      </w:pPr>
    </w:p>
    <w:p w:rsidR="00822AA0" w:rsidRPr="003C2C58" w:rsidRDefault="00822AA0" w:rsidP="00822AA0">
      <w:pPr>
        <w:spacing w:after="0"/>
        <w:rPr>
          <w:b/>
          <w:color w:val="0070C0"/>
          <w:sz w:val="24"/>
        </w:rPr>
      </w:pPr>
      <w:r w:rsidRPr="003C2C58">
        <w:rPr>
          <w:b/>
          <w:color w:val="0070C0"/>
          <w:sz w:val="24"/>
        </w:rPr>
        <w:t xml:space="preserve">Continuous Quality Improvement </w:t>
      </w:r>
    </w:p>
    <w:p w:rsidR="00653FDD" w:rsidRPr="00B156C3" w:rsidRDefault="00B156C3" w:rsidP="00A2341A">
      <w:pPr>
        <w:spacing w:after="0"/>
      </w:pPr>
      <w:r w:rsidRPr="00B156C3">
        <w:t>Review the action plan from the previous year’s report and/or the last assessment of these learning outcomes. Provide a brief update of whether these activities appear to have influenced student learning and/or success outcomes.</w:t>
      </w:r>
    </w:p>
    <w:p w:rsidR="00B156C3" w:rsidRPr="00B156C3" w:rsidRDefault="00B156C3" w:rsidP="00A2341A">
      <w:pPr>
        <w:spacing w:after="0"/>
      </w:pPr>
    </w:p>
    <w:p w:rsidR="00B156C3" w:rsidRPr="00B156C3" w:rsidRDefault="00B156C3" w:rsidP="00A2341A">
      <w:pPr>
        <w:spacing w:after="0"/>
      </w:pPr>
      <w:r w:rsidRPr="00B156C3">
        <w:t>Based on the findings, what are the top priorities to address and what actions are planned to maintain strong performance and/or improve student learning and success?</w:t>
      </w:r>
    </w:p>
    <w:p w:rsidR="00B156C3" w:rsidRPr="00B156C3" w:rsidRDefault="00B156C3" w:rsidP="00A2341A">
      <w:pPr>
        <w:spacing w:after="0"/>
      </w:pPr>
    </w:p>
    <w:p w:rsidR="00B156C3" w:rsidRPr="00B156C3" w:rsidRDefault="00B156C3" w:rsidP="00A2341A">
      <w:pPr>
        <w:spacing w:after="0"/>
        <w:rPr>
          <w:i/>
        </w:rPr>
      </w:pPr>
      <w:r w:rsidRPr="00B156C3">
        <w:t xml:space="preserve">What support/resources/partnerships (if any) will be explored to achieve these? </w:t>
      </w:r>
      <w:r w:rsidRPr="00B156C3">
        <w:rPr>
          <w:i/>
        </w:rPr>
        <w:t>Note – this is a planning/reporting tool, not a request for resources. Any potential support identified here should be followed up with consultation with appropriate university officials (e.g., Deans, ISU Foundation, Enrollment Management, etc.).</w:t>
      </w:r>
    </w:p>
    <w:p w:rsidR="00B156C3" w:rsidRPr="00B156C3" w:rsidRDefault="00B156C3" w:rsidP="00A2341A">
      <w:pPr>
        <w:spacing w:after="0"/>
        <w:rPr>
          <w:i/>
        </w:rPr>
      </w:pPr>
    </w:p>
    <w:p w:rsidR="00B156C3" w:rsidRPr="00B156C3" w:rsidRDefault="00B156C3" w:rsidP="00A2341A">
      <w:pPr>
        <w:spacing w:after="0"/>
        <w:rPr>
          <w:i/>
        </w:rPr>
      </w:pPr>
      <w:r w:rsidRPr="00B156C3">
        <w:t>What learning outcomes will your assessment plan focus on next year, and what changes, if any, are planned to improve assessment strategies and yield stronger data?</w:t>
      </w:r>
    </w:p>
    <w:p w:rsidR="00B156C3" w:rsidRPr="00B156C3" w:rsidRDefault="00B156C3" w:rsidP="00A2341A">
      <w:pPr>
        <w:spacing w:after="0"/>
        <w:rPr>
          <w:i/>
        </w:rPr>
      </w:pPr>
    </w:p>
    <w:p w:rsidR="00B156C3" w:rsidRPr="00B156C3" w:rsidRDefault="00B156C3" w:rsidP="00A2341A">
      <w:pPr>
        <w:spacing w:after="0"/>
      </w:pPr>
      <w:r w:rsidRPr="00B156C3">
        <w:t xml:space="preserve">Describe faculty involvement in assessment and data analysis, and how findings will be shared with faculty and applicable stakeholders. </w:t>
      </w:r>
    </w:p>
    <w:p w:rsidR="00B156C3" w:rsidRPr="00A2341A" w:rsidRDefault="00B156C3" w:rsidP="00A2341A">
      <w:pPr>
        <w:spacing w:after="0"/>
      </w:pPr>
    </w:p>
    <w:p w:rsidR="00E278FA" w:rsidRDefault="00E278FA" w:rsidP="00E278FA">
      <w:pPr>
        <w:spacing w:after="0"/>
        <w:jc w:val="center"/>
        <w:rPr>
          <w:b/>
          <w:sz w:val="32"/>
        </w:rPr>
      </w:pPr>
    </w:p>
    <w:p w:rsidR="00E278FA" w:rsidRPr="00E278FA" w:rsidRDefault="00E278FA" w:rsidP="00E278FA">
      <w:pPr>
        <w:spacing w:after="0"/>
        <w:jc w:val="center"/>
        <w:rPr>
          <w:b/>
          <w:sz w:val="32"/>
        </w:rPr>
      </w:pPr>
    </w:p>
    <w:sectPr w:rsidR="00E278FA" w:rsidRPr="00E278FA" w:rsidSect="00E278FA">
      <w:footerReference w:type="default" r:id="rId1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DBF" w:rsidRDefault="00FD0DBF" w:rsidP="00E278FA">
      <w:pPr>
        <w:spacing w:after="0" w:line="240" w:lineRule="auto"/>
      </w:pPr>
      <w:r>
        <w:separator/>
      </w:r>
    </w:p>
  </w:endnote>
  <w:endnote w:type="continuationSeparator" w:id="0">
    <w:p w:rsidR="00FD0DBF" w:rsidRDefault="00FD0DBF" w:rsidP="00E27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8FA" w:rsidRDefault="006F61D1">
    <w:pPr>
      <w:pStyle w:val="Footer"/>
    </w:pPr>
    <w:r>
      <w:t>Updated May 2023</w:t>
    </w:r>
    <w:r w:rsidR="00E278FA">
      <w:ptab w:relativeTo="margin" w:alignment="center" w:leader="none"/>
    </w:r>
    <w:r w:rsidR="00E278FA">
      <w:rPr>
        <w:noProof/>
      </w:rPr>
      <w:drawing>
        <wp:inline distT="0" distB="0" distL="0" distR="0" wp14:editId="60170D96">
          <wp:extent cx="1093365" cy="201491"/>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sessment and Accreditation[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3365" cy="201491"/>
                  </a:xfrm>
                  <a:prstGeom prst="rect">
                    <a:avLst/>
                  </a:prstGeom>
                </pic:spPr>
              </pic:pic>
            </a:graphicData>
          </a:graphic>
        </wp:inline>
      </w:drawing>
    </w:r>
    <w:r w:rsidR="00E278FA">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DBF" w:rsidRDefault="00FD0DBF" w:rsidP="00E278FA">
      <w:pPr>
        <w:spacing w:after="0" w:line="240" w:lineRule="auto"/>
      </w:pPr>
      <w:r>
        <w:separator/>
      </w:r>
    </w:p>
  </w:footnote>
  <w:footnote w:type="continuationSeparator" w:id="0">
    <w:p w:rsidR="00FD0DBF" w:rsidRDefault="00FD0DBF" w:rsidP="00E278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E742B"/>
    <w:multiLevelType w:val="hybridMultilevel"/>
    <w:tmpl w:val="74D6D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3C29C1"/>
    <w:multiLevelType w:val="hybridMultilevel"/>
    <w:tmpl w:val="F81CE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9B4C63"/>
    <w:multiLevelType w:val="hybridMultilevel"/>
    <w:tmpl w:val="64AEE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40645E"/>
    <w:multiLevelType w:val="hybridMultilevel"/>
    <w:tmpl w:val="3C1C82C2"/>
    <w:lvl w:ilvl="0" w:tplc="5026522E">
      <w:start w:val="1"/>
      <w:numFmt w:val="decimal"/>
      <w:lvlText w:val="%1."/>
      <w:lvlJc w:val="left"/>
      <w:pPr>
        <w:ind w:left="360" w:hanging="360"/>
      </w:pPr>
      <w:rPr>
        <w:rFonts w:hint="default"/>
        <w:i w:val="0"/>
        <w:color w:val="0070C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E2F5CC5"/>
    <w:multiLevelType w:val="hybridMultilevel"/>
    <w:tmpl w:val="63DE9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004E9E"/>
    <w:multiLevelType w:val="hybridMultilevel"/>
    <w:tmpl w:val="99BC62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8FA"/>
    <w:rsid w:val="000135A3"/>
    <w:rsid w:val="000547EA"/>
    <w:rsid w:val="000A3480"/>
    <w:rsid w:val="00130AF6"/>
    <w:rsid w:val="00146C55"/>
    <w:rsid w:val="00166EBB"/>
    <w:rsid w:val="001C163C"/>
    <w:rsid w:val="002169A8"/>
    <w:rsid w:val="002B48F8"/>
    <w:rsid w:val="002F4484"/>
    <w:rsid w:val="00311491"/>
    <w:rsid w:val="003C2C58"/>
    <w:rsid w:val="003C38CD"/>
    <w:rsid w:val="00407A5F"/>
    <w:rsid w:val="004773A9"/>
    <w:rsid w:val="0048281D"/>
    <w:rsid w:val="00570421"/>
    <w:rsid w:val="00572FD8"/>
    <w:rsid w:val="00653FDD"/>
    <w:rsid w:val="00662D41"/>
    <w:rsid w:val="00674B87"/>
    <w:rsid w:val="006B7A6C"/>
    <w:rsid w:val="006F61D1"/>
    <w:rsid w:val="006F6C7A"/>
    <w:rsid w:val="00715E46"/>
    <w:rsid w:val="00724903"/>
    <w:rsid w:val="00750AEC"/>
    <w:rsid w:val="007E67DC"/>
    <w:rsid w:val="0081078E"/>
    <w:rsid w:val="00822AA0"/>
    <w:rsid w:val="00850A38"/>
    <w:rsid w:val="00873240"/>
    <w:rsid w:val="008807A7"/>
    <w:rsid w:val="008D0345"/>
    <w:rsid w:val="008E32C6"/>
    <w:rsid w:val="00A2341A"/>
    <w:rsid w:val="00AA6EFB"/>
    <w:rsid w:val="00B02DE6"/>
    <w:rsid w:val="00B0508E"/>
    <w:rsid w:val="00B156C3"/>
    <w:rsid w:val="00B25DD4"/>
    <w:rsid w:val="00B92CEC"/>
    <w:rsid w:val="00C10C9E"/>
    <w:rsid w:val="00C2021F"/>
    <w:rsid w:val="00C77B0E"/>
    <w:rsid w:val="00CA0595"/>
    <w:rsid w:val="00CA58C1"/>
    <w:rsid w:val="00D954B6"/>
    <w:rsid w:val="00DA7C6C"/>
    <w:rsid w:val="00E278FA"/>
    <w:rsid w:val="00E35772"/>
    <w:rsid w:val="00E53BA5"/>
    <w:rsid w:val="00FD0DBF"/>
    <w:rsid w:val="00FD1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80C55"/>
  <w15:chartTrackingRefBased/>
  <w15:docId w15:val="{DDE485F6-6D7F-47DA-93D7-ACCF51DD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B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8FA"/>
  </w:style>
  <w:style w:type="paragraph" w:styleId="Footer">
    <w:name w:val="footer"/>
    <w:basedOn w:val="Normal"/>
    <w:link w:val="FooterChar"/>
    <w:uiPriority w:val="99"/>
    <w:unhideWhenUsed/>
    <w:rsid w:val="00E27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8FA"/>
  </w:style>
  <w:style w:type="paragraph" w:styleId="ListParagraph">
    <w:name w:val="List Paragraph"/>
    <w:basedOn w:val="Normal"/>
    <w:uiPriority w:val="34"/>
    <w:qFormat/>
    <w:rsid w:val="00850A38"/>
    <w:pPr>
      <w:ind w:left="720"/>
      <w:contextualSpacing/>
    </w:pPr>
  </w:style>
  <w:style w:type="character" w:styleId="Hyperlink">
    <w:name w:val="Hyperlink"/>
    <w:basedOn w:val="DefaultParagraphFont"/>
    <w:uiPriority w:val="99"/>
    <w:unhideWhenUsed/>
    <w:rsid w:val="00FD1954"/>
    <w:rPr>
      <w:color w:val="0563C1" w:themeColor="hyperlink"/>
      <w:u w:val="single"/>
    </w:rPr>
  </w:style>
  <w:style w:type="table" w:styleId="TableGrid">
    <w:name w:val="Table Grid"/>
    <w:basedOn w:val="TableNormal"/>
    <w:uiPriority w:val="39"/>
    <w:rsid w:val="00DA7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00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ey.woods-johnson@indstate.edu" TargetMode="External"/><Relationship Id="rId13" Type="http://schemas.openxmlformats.org/officeDocument/2006/relationships/hyperlink" Target="mailto:kelley.woods-johnson@indstate.edu" TargetMode="External"/><Relationship Id="rId3" Type="http://schemas.openxmlformats.org/officeDocument/2006/relationships/settings" Target="settings.xml"/><Relationship Id="rId7" Type="http://schemas.openxmlformats.org/officeDocument/2006/relationships/hyperlink" Target="mailto:kelley.woods-johnson@indstate.edu" TargetMode="External"/><Relationship Id="rId12" Type="http://schemas.openxmlformats.org/officeDocument/2006/relationships/hyperlink" Target="https://www.indstate.edu/assessment/assessment-resul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rt2.indstate.edu/i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kelley.woods-johnson@indstate.edu" TargetMode="External"/><Relationship Id="rId4" Type="http://schemas.openxmlformats.org/officeDocument/2006/relationships/webSettings" Target="webSettings.xml"/><Relationship Id="rId9" Type="http://schemas.openxmlformats.org/officeDocument/2006/relationships/hyperlink" Target="https://www.indstate.edu/assessment/assessment-results" TargetMode="External"/><Relationship Id="rId14" Type="http://schemas.openxmlformats.org/officeDocument/2006/relationships/hyperlink" Target="https://irt2.indstate.edu/i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1827</TotalTime>
  <Pages>5</Pages>
  <Words>1133</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Woods-Johnson</dc:creator>
  <cp:keywords/>
  <dc:description/>
  <cp:lastModifiedBy>Kelley Woods-Johnson</cp:lastModifiedBy>
  <cp:revision>6</cp:revision>
  <dcterms:created xsi:type="dcterms:W3CDTF">2023-05-10T13:21:00Z</dcterms:created>
  <dcterms:modified xsi:type="dcterms:W3CDTF">2023-05-30T16:43:00Z</dcterms:modified>
</cp:coreProperties>
</file>