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96BA5" w14:textId="68BC9236" w:rsidR="00536C08" w:rsidRPr="00230522" w:rsidRDefault="00230522" w:rsidP="00230522">
      <w:pPr>
        <w:rPr>
          <w:rFonts w:ascii="Times New Roman" w:eastAsia="Times New Roman" w:hAnsi="Times New Roman" w:cs="Times New Roman"/>
          <w:sz w:val="30"/>
          <w:szCs w:val="30"/>
        </w:rPr>
      </w:pPr>
      <w:r>
        <w:tab/>
      </w:r>
      <w:r>
        <w:tab/>
      </w:r>
      <w:r>
        <w:tab/>
      </w:r>
      <w:r>
        <w:tab/>
      </w:r>
      <w:r w:rsidRPr="00230522">
        <w:rPr>
          <w:rFonts w:ascii="Calibri" w:eastAsia="Times New Roman" w:hAnsi="Calibri" w:cs="Calibri"/>
          <w:color w:val="242424"/>
          <w:sz w:val="30"/>
          <w:szCs w:val="30"/>
          <w:shd w:val="clear" w:color="auto" w:fill="FFFFFF"/>
        </w:rPr>
        <w:t>IRB related guidelines</w:t>
      </w:r>
    </w:p>
    <w:p w14:paraId="0B29D3E3" w14:textId="5EB26695" w:rsidR="00536C08" w:rsidRDefault="00536C08" w:rsidP="00536C08">
      <w:pPr>
        <w:shd w:val="clear" w:color="auto" w:fill="FFFFFF"/>
        <w:ind w:left="720"/>
        <w:rPr>
          <w:rFonts w:ascii="Calibri" w:eastAsia="Times New Roman" w:hAnsi="Calibri" w:cs="Calibri"/>
          <w:color w:val="424242"/>
          <w:sz w:val="22"/>
          <w:szCs w:val="22"/>
        </w:rPr>
      </w:pPr>
    </w:p>
    <w:p w14:paraId="7D164807" w14:textId="77777777" w:rsidR="00536C08" w:rsidRPr="00536C08" w:rsidRDefault="00536C08" w:rsidP="00536C08">
      <w:pPr>
        <w:shd w:val="clear" w:color="auto" w:fill="FFFFFF"/>
        <w:ind w:left="720"/>
        <w:rPr>
          <w:rFonts w:ascii="Calibri" w:eastAsia="Times New Roman" w:hAnsi="Calibri" w:cs="Calibri"/>
          <w:color w:val="424242"/>
          <w:sz w:val="22"/>
          <w:szCs w:val="22"/>
        </w:rPr>
      </w:pPr>
    </w:p>
    <w:p w14:paraId="0A3FF056" w14:textId="6C903386" w:rsidR="00536C08" w:rsidRPr="00536C08" w:rsidRDefault="00536C08" w:rsidP="00536C08">
      <w:pPr>
        <w:numPr>
          <w:ilvl w:val="0"/>
          <w:numId w:val="1"/>
        </w:numPr>
        <w:shd w:val="clear" w:color="auto" w:fill="FFFFFF"/>
        <w:rPr>
          <w:rFonts w:ascii="Calibri" w:eastAsia="Times New Roman" w:hAnsi="Calibri" w:cs="Calibri"/>
          <w:color w:val="424242"/>
          <w:sz w:val="30"/>
          <w:szCs w:val="30"/>
        </w:rPr>
      </w:pPr>
      <w:r w:rsidRPr="00536C08">
        <w:rPr>
          <w:rFonts w:ascii="Calibri" w:eastAsia="Times New Roman" w:hAnsi="Calibri" w:cs="Calibri"/>
          <w:color w:val="424242"/>
          <w:sz w:val="30"/>
          <w:szCs w:val="30"/>
        </w:rPr>
        <w:t>Read Me First includes a full explanation of the process</w:t>
      </w:r>
    </w:p>
    <w:p w14:paraId="51F3D960" w14:textId="77777777" w:rsidR="00536C08" w:rsidRPr="00536C08" w:rsidRDefault="00536C08" w:rsidP="00536C08">
      <w:pPr>
        <w:numPr>
          <w:ilvl w:val="0"/>
          <w:numId w:val="1"/>
        </w:numPr>
        <w:shd w:val="clear" w:color="auto" w:fill="FFFFFF"/>
        <w:rPr>
          <w:rFonts w:ascii="Calibri" w:eastAsia="Times New Roman" w:hAnsi="Calibri" w:cs="Calibri"/>
          <w:color w:val="424242"/>
          <w:sz w:val="30"/>
          <w:szCs w:val="30"/>
        </w:rPr>
      </w:pPr>
      <w:r w:rsidRPr="00536C08">
        <w:rPr>
          <w:rFonts w:ascii="Calibri" w:eastAsia="Times New Roman" w:hAnsi="Calibri" w:cs="Calibri"/>
          <w:color w:val="424242"/>
          <w:sz w:val="30"/>
          <w:szCs w:val="30"/>
        </w:rPr>
        <w:t>Guidance for Selecting Level of Review</w:t>
      </w:r>
    </w:p>
    <w:p w14:paraId="12E71251" w14:textId="77777777" w:rsidR="00536C08" w:rsidRPr="00536C08" w:rsidRDefault="00536C08" w:rsidP="00536C08">
      <w:pPr>
        <w:numPr>
          <w:ilvl w:val="0"/>
          <w:numId w:val="1"/>
        </w:numPr>
        <w:shd w:val="clear" w:color="auto" w:fill="FFFFFF"/>
        <w:rPr>
          <w:rFonts w:ascii="Calibri" w:eastAsia="Times New Roman" w:hAnsi="Calibri" w:cs="Calibri"/>
          <w:color w:val="424242"/>
          <w:sz w:val="30"/>
          <w:szCs w:val="30"/>
        </w:rPr>
      </w:pPr>
      <w:r w:rsidRPr="00536C08">
        <w:rPr>
          <w:rFonts w:ascii="Calibri" w:eastAsia="Times New Roman" w:hAnsi="Calibri" w:cs="Calibri"/>
          <w:color w:val="424242"/>
          <w:sz w:val="30"/>
          <w:szCs w:val="30"/>
        </w:rPr>
        <w:t>The Form A New Application Checklist &amp; Instructions for Submitting, which includes the Form A and Informed Consent resource video: </w:t>
      </w:r>
      <w:hyperlink r:id="rId5" w:tgtFrame="_blank" w:tooltip="Original URL: http://youtu.be/7L0Bijk2q4M. Click or tap if you trust this link." w:history="1">
        <w:r w:rsidRPr="00536C08">
          <w:rPr>
            <w:rFonts w:ascii="Calibri" w:eastAsia="Times New Roman" w:hAnsi="Calibri" w:cs="Calibri"/>
            <w:color w:val="0000FF"/>
            <w:sz w:val="30"/>
            <w:szCs w:val="30"/>
            <w:u w:val="single"/>
            <w:bdr w:val="none" w:sz="0" w:space="0" w:color="auto" w:frame="1"/>
          </w:rPr>
          <w:t>http://youtu.be/7L0Bijk2q4M</w:t>
        </w:r>
      </w:hyperlink>
    </w:p>
    <w:p w14:paraId="45B66A1E" w14:textId="77777777" w:rsidR="00536C08" w:rsidRPr="00536C08" w:rsidRDefault="00536C08" w:rsidP="00536C08">
      <w:pPr>
        <w:numPr>
          <w:ilvl w:val="0"/>
          <w:numId w:val="1"/>
        </w:numPr>
        <w:shd w:val="clear" w:color="auto" w:fill="FFFFFF"/>
        <w:rPr>
          <w:rFonts w:ascii="Calibri" w:eastAsia="Times New Roman" w:hAnsi="Calibri" w:cs="Calibri"/>
          <w:color w:val="424242"/>
          <w:sz w:val="30"/>
          <w:szCs w:val="30"/>
        </w:rPr>
      </w:pPr>
      <w:r w:rsidRPr="00536C08">
        <w:rPr>
          <w:rFonts w:ascii="Calibri" w:eastAsia="Times New Roman" w:hAnsi="Calibri" w:cs="Calibri"/>
          <w:color w:val="424242"/>
          <w:sz w:val="30"/>
          <w:szCs w:val="30"/>
        </w:rPr>
        <w:t>Guidance for Qualtrics Security &amp; Data Privacy</w:t>
      </w:r>
    </w:p>
    <w:p w14:paraId="0211DFB0" w14:textId="12C8D429" w:rsidR="00536C08" w:rsidRPr="00536C08" w:rsidRDefault="00536C08" w:rsidP="00536C08">
      <w:pPr>
        <w:numPr>
          <w:ilvl w:val="0"/>
          <w:numId w:val="1"/>
        </w:numPr>
        <w:shd w:val="clear" w:color="auto" w:fill="FFFFFF"/>
        <w:rPr>
          <w:rFonts w:ascii="Calibri" w:eastAsia="Times New Roman" w:hAnsi="Calibri" w:cs="Calibri"/>
          <w:color w:val="424242"/>
          <w:sz w:val="30"/>
          <w:szCs w:val="30"/>
        </w:rPr>
      </w:pPr>
      <w:r w:rsidRPr="00536C08">
        <w:rPr>
          <w:rFonts w:ascii="Calibri" w:eastAsia="Times New Roman" w:hAnsi="Calibri" w:cs="Calibri"/>
          <w:color w:val="424242"/>
          <w:sz w:val="30"/>
          <w:szCs w:val="30"/>
        </w:rPr>
        <w:t>Guidance for Preparing Informed Consent Materials</w:t>
      </w:r>
    </w:p>
    <w:p w14:paraId="02BF0DCD" w14:textId="25421190" w:rsidR="00536C08" w:rsidRPr="00230522" w:rsidRDefault="00536C08" w:rsidP="00536C08">
      <w:pPr>
        <w:numPr>
          <w:ilvl w:val="0"/>
          <w:numId w:val="1"/>
        </w:numPr>
        <w:shd w:val="clear" w:color="auto" w:fill="FFFFFF"/>
        <w:rPr>
          <w:rFonts w:ascii="Calibri" w:eastAsia="Times New Roman" w:hAnsi="Calibri" w:cs="Calibri"/>
          <w:color w:val="424242"/>
          <w:sz w:val="30"/>
          <w:szCs w:val="30"/>
        </w:rPr>
      </w:pPr>
      <w:r w:rsidRPr="00536C08">
        <w:rPr>
          <w:rFonts w:ascii="Calibri" w:eastAsia="Times New Roman" w:hAnsi="Calibri" w:cs="Calibri"/>
          <w:color w:val="424242"/>
          <w:sz w:val="30"/>
          <w:szCs w:val="30"/>
        </w:rPr>
        <w:t>What commonly slows down IRB Review (the Pre-Review)</w:t>
      </w:r>
    </w:p>
    <w:p w14:paraId="2749F8B4" w14:textId="5BD6DA12" w:rsidR="00230522" w:rsidRPr="00230522" w:rsidRDefault="00230522" w:rsidP="00230522">
      <w:pPr>
        <w:shd w:val="clear" w:color="auto" w:fill="FFFFFF"/>
        <w:rPr>
          <w:rFonts w:ascii="Calibri" w:eastAsia="Times New Roman" w:hAnsi="Calibri" w:cs="Calibri"/>
          <w:color w:val="424242"/>
          <w:sz w:val="30"/>
          <w:szCs w:val="30"/>
        </w:rPr>
      </w:pPr>
    </w:p>
    <w:p w14:paraId="5C78C5B8" w14:textId="2046143D" w:rsidR="00230522" w:rsidRPr="00230522" w:rsidRDefault="00230522" w:rsidP="00230522">
      <w:pPr>
        <w:shd w:val="clear" w:color="auto" w:fill="FFFFFF"/>
        <w:rPr>
          <w:rFonts w:ascii="Calibri" w:eastAsia="Times New Roman" w:hAnsi="Calibri" w:cs="Calibri"/>
          <w:color w:val="424242"/>
          <w:sz w:val="30"/>
          <w:szCs w:val="30"/>
        </w:rPr>
      </w:pPr>
    </w:p>
    <w:p w14:paraId="38E54F9E" w14:textId="7B895B9A" w:rsidR="00230522" w:rsidRPr="00230522" w:rsidRDefault="00230522" w:rsidP="00230522">
      <w:pPr>
        <w:rPr>
          <w:rFonts w:ascii="Times New Roman" w:eastAsia="Times New Roman" w:hAnsi="Times New Roman" w:cs="Times New Roman"/>
          <w:sz w:val="30"/>
          <w:szCs w:val="30"/>
        </w:rPr>
      </w:pPr>
      <w:r w:rsidRPr="00230522">
        <w:rPr>
          <w:rFonts w:ascii="Calibri" w:eastAsia="Times New Roman" w:hAnsi="Calibri" w:cs="Calibri"/>
          <w:color w:val="424242"/>
          <w:sz w:val="30"/>
          <w:szCs w:val="30"/>
          <w:shd w:val="clear" w:color="auto" w:fill="FFFFFF"/>
        </w:rPr>
        <w:t xml:space="preserve">We </w:t>
      </w:r>
      <w:r w:rsidRPr="00230522">
        <w:rPr>
          <w:rFonts w:ascii="Calibri" w:eastAsia="Times New Roman" w:hAnsi="Calibri" w:cs="Calibri"/>
          <w:color w:val="424242"/>
          <w:sz w:val="30"/>
          <w:szCs w:val="30"/>
          <w:shd w:val="clear" w:color="auto" w:fill="FFFFFF"/>
        </w:rPr>
        <w:t>have provided a screenshot below with some markers to identify those materials.</w:t>
      </w:r>
    </w:p>
    <w:p w14:paraId="3B832D52" w14:textId="77777777" w:rsidR="00230522" w:rsidRPr="00536C08" w:rsidRDefault="00230522" w:rsidP="00230522">
      <w:pPr>
        <w:shd w:val="clear" w:color="auto" w:fill="FFFFFF"/>
        <w:rPr>
          <w:rFonts w:ascii="Calibri" w:eastAsia="Times New Roman" w:hAnsi="Calibri" w:cs="Calibri"/>
          <w:color w:val="424242"/>
          <w:sz w:val="22"/>
          <w:szCs w:val="22"/>
        </w:rPr>
      </w:pPr>
    </w:p>
    <w:p w14:paraId="760A5DD9" w14:textId="18DD3675" w:rsidR="00230522" w:rsidRPr="00230522" w:rsidRDefault="00230522">
      <w:pPr>
        <w:rPr>
          <w:sz w:val="30"/>
          <w:szCs w:val="30"/>
        </w:rPr>
      </w:pPr>
      <w:r>
        <w:t>L</w:t>
      </w:r>
      <w:r w:rsidRPr="00230522">
        <w:rPr>
          <w:sz w:val="30"/>
          <w:szCs w:val="30"/>
        </w:rPr>
        <w:t xml:space="preserve">ink: </w:t>
      </w:r>
      <w:hyperlink r:id="rId6" w:history="1">
        <w:r w:rsidRPr="00230522">
          <w:rPr>
            <w:rStyle w:val="Hyperlink"/>
            <w:sz w:val="30"/>
            <w:szCs w:val="30"/>
          </w:rPr>
          <w:t>http://www.irbnet.org/</w:t>
        </w:r>
      </w:hyperlink>
    </w:p>
    <w:p w14:paraId="797EDA6D" w14:textId="77777777" w:rsidR="00230522" w:rsidRDefault="00230522"/>
    <w:p w14:paraId="31627F79" w14:textId="29D55AA3" w:rsidR="00230522" w:rsidRPr="00230522" w:rsidRDefault="00230522">
      <w:pPr>
        <w:rPr>
          <w:sz w:val="30"/>
          <w:szCs w:val="30"/>
        </w:rPr>
      </w:pPr>
      <w:r w:rsidRPr="00230522">
        <w:rPr>
          <w:b/>
          <w:bCs/>
          <w:sz w:val="30"/>
          <w:szCs w:val="30"/>
        </w:rPr>
        <w:t xml:space="preserve">Step </w:t>
      </w:r>
      <w:proofErr w:type="gramStart"/>
      <w:r w:rsidRPr="00230522">
        <w:rPr>
          <w:b/>
          <w:bCs/>
          <w:sz w:val="30"/>
          <w:szCs w:val="30"/>
        </w:rPr>
        <w:t>1 :</w:t>
      </w:r>
      <w:proofErr w:type="gramEnd"/>
      <w:r w:rsidRPr="00230522">
        <w:rPr>
          <w:sz w:val="30"/>
          <w:szCs w:val="30"/>
        </w:rPr>
        <w:t xml:space="preserve"> Click on the link</w:t>
      </w:r>
    </w:p>
    <w:p w14:paraId="2602EEC2" w14:textId="4A42544F" w:rsidR="00230522" w:rsidRDefault="00230522">
      <w:r w:rsidRPr="00230522">
        <w:drawing>
          <wp:inline distT="0" distB="0" distL="0" distR="0" wp14:anchorId="28E6A2E8" wp14:editId="33046278">
            <wp:extent cx="5942003" cy="3867665"/>
            <wp:effectExtent l="0" t="0" r="1905" b="635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2455" cy="391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113B2" w14:textId="2F74CDB2" w:rsidR="00230522" w:rsidRDefault="00230522"/>
    <w:p w14:paraId="2F040187" w14:textId="12A924B0" w:rsidR="00230522" w:rsidRDefault="00230522"/>
    <w:p w14:paraId="5853C14C" w14:textId="77777777" w:rsidR="00230522" w:rsidRPr="00230522" w:rsidRDefault="00230522" w:rsidP="00230522">
      <w:pPr>
        <w:rPr>
          <w:rFonts w:ascii="Times New Roman" w:eastAsia="Times New Roman" w:hAnsi="Times New Roman" w:cs="Times New Roman"/>
        </w:rPr>
      </w:pPr>
      <w:r w:rsidRPr="00230522">
        <w:rPr>
          <w:b/>
          <w:bCs/>
          <w:sz w:val="30"/>
          <w:szCs w:val="30"/>
        </w:rPr>
        <w:t xml:space="preserve">Step 2: </w:t>
      </w:r>
      <w:r w:rsidRPr="00230522">
        <w:rPr>
          <w:rFonts w:ascii="Calibri" w:eastAsia="Times New Roman" w:hAnsi="Calibri" w:cs="Calibri"/>
          <w:color w:val="424242"/>
          <w:sz w:val="30"/>
          <w:szCs w:val="30"/>
          <w:shd w:val="clear" w:color="auto" w:fill="FFFFFF"/>
        </w:rPr>
        <w:t>Researchers should click the “Forms and Templates” tab under the “Other Tools” heading. Then they can “Select a Library” and choose the “IRB – Documents for Researchers.”</w:t>
      </w:r>
    </w:p>
    <w:p w14:paraId="64CF65C5" w14:textId="202B688A" w:rsidR="00230522" w:rsidRDefault="00230522"/>
    <w:p w14:paraId="19FB850E" w14:textId="77777777" w:rsidR="00230522" w:rsidRDefault="00230522"/>
    <w:p w14:paraId="022AC5CE" w14:textId="0AD2E71E" w:rsidR="00230522" w:rsidRDefault="00C579C1">
      <w:r w:rsidRPr="00C579C1">
        <w:drawing>
          <wp:inline distT="0" distB="0" distL="0" distR="0" wp14:anchorId="57F91C2D" wp14:editId="20A4B721">
            <wp:extent cx="6610865" cy="5427345"/>
            <wp:effectExtent l="0" t="0" r="635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1095" cy="543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05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2F66"/>
    <w:multiLevelType w:val="multilevel"/>
    <w:tmpl w:val="1FE01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88121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C08"/>
    <w:rsid w:val="00230522"/>
    <w:rsid w:val="0024425E"/>
    <w:rsid w:val="003E1146"/>
    <w:rsid w:val="0048648D"/>
    <w:rsid w:val="00536C08"/>
    <w:rsid w:val="009C2E61"/>
    <w:rsid w:val="00C5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BAFC5"/>
  <w15:chartTrackingRefBased/>
  <w15:docId w15:val="{5C1743DD-EE0F-EB45-AF67-4AAF3009A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6C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05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6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rbnet.org/" TargetMode="External"/><Relationship Id="rId5" Type="http://schemas.openxmlformats.org/officeDocument/2006/relationships/hyperlink" Target="https://nam02.safelinks.protection.outlook.com/?url=http%3A%2F%2Fyoutu.be%2F7L0Bijk2q4M&amp;data=05%7C01%7Cntadiboina%40sycamores.indstate.edu%7C45d1ba5d3afd41f9e3ec08daabb87a81%7C3eeabe396b1c4f95ae682fab18085f8d%7C0%7C0%7C638011106063499073%7CUnknown%7CTWFpbGZsb3d8eyJWIjoiMC4wLjAwMDAiLCJQIjoiV2luMzIiLCJBTiI6Ik1haWwiLCJXVCI6Mn0%3D%7C3000%7C%7C%7C&amp;sdata=LJAj4VpnO9z4h%2BiA9evPWkFGCXN18CI7S1Ile1Lmwt8%3D&amp;reserved=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Naga RaviTeja Tadiboina</dc:creator>
  <cp:keywords/>
  <dc:description/>
  <cp:lastModifiedBy>Naga RaviTeja Tadiboina</cp:lastModifiedBy>
  <cp:revision>1</cp:revision>
  <dcterms:created xsi:type="dcterms:W3CDTF">2022-10-12T17:29:00Z</dcterms:created>
  <dcterms:modified xsi:type="dcterms:W3CDTF">2022-10-12T18:21:00Z</dcterms:modified>
</cp:coreProperties>
</file>